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6be7533eda4dc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c274aef0f4503">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(2016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7ad4afd516498b">
              <w:r>
                <w:rPr>
                  <w:rStyle w:val="Hyperlink"/>
                </w:rPr>
                <w:t xml:space="preserve">National Indigenous Reform Agreement (2019)</w:t>
              </w:r>
            </w:hyperlink>
          </w:p>
          <w:p>
            <w:pPr>
              <w:spacing w:before="0" w:after="0"/>
            </w:pPr>
            <w:r>
              <w:rPr>
                <w:rStyle w:val="row-content"/>
                <w:color w:val="244061"/>
              </w:rPr>
              <w:t xml:space="preserve">       </w:t>
            </w:r>
            <w:hyperlink w:history="true" r:id="Rf1771cb2e4cc4b3b">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a1d05d7670e444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f7e433ec40a4505">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ea04b6214a4371">
              <w:r>
                <w:rPr>
                  <w:rStyle w:val="Hyperlink"/>
                </w:rPr>
                <w:t xml:space="preserve">National Indigenous Reform Agreement: PI 02-Mortality rate by leading causes, 2019; Quality Statement</w:t>
              </w:r>
            </w:hyperlink>
          </w:p>
          <w:p>
            <w:pPr>
              <w:spacing w:before="0" w:after="0"/>
            </w:pPr>
            <w:r>
              <w:rPr>
                <w:rStyle w:val="row-content"/>
                <w:color w:val="244061"/>
              </w:rPr>
              <w:t xml:space="preserve">       </w:t>
            </w:r>
            <w:hyperlink w:history="true" r:id="R7bec78c96ea045a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e25fa41614e42ea">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e2b6884143e4ab4"/>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8227f453d8f4830"/>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d9878efb5dd4af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99a525048c7a420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0ba94506a3f4ca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c911e8734c81437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af49d9542c54a3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ff03894df004415">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and net migration.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- 2013–2017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(historical data available previously), 2014 (final revision), 2015 (preliminary revision) and 2016 (preliminary), 2017 (current).</w:t>
            </w:r>
          </w:p>
          <w:p>
            <w:pPr>
              <w:spacing w:after="160"/>
            </w:pPr>
            <w:r>
              <w:rPr>
                <w:rStyle w:val="row-content-rich-text"/>
              </w:rPr>
              <w:t xml:space="preserve">All causes of death: 2006, 2007, 2008, 2009, 2010, 2011, 2012, 2013, 2014, 2015, 2016 (historical data available previously), 2017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755e027d40544fa">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8199d865cee493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2015 version ANN-ANN</w:t>
            </w:r>
          </w:p>
          <w:p>
            <w:r>
              <w:rPr>
                <w:rStyle w:val="row-content"/>
              </w:rPr>
              <w:t xml:space="preserve"> </w:t>
            </w:r>
          </w:p>
          <w:p>
            <w:r>
              <w:rPr>
                <w:rStyle w:val="row-content"/>
                <w:b/>
              </w:rPr>
              <w:t xml:space="preserve">Data Source</w:t>
            </w:r>
          </w:p>
          <w:p>
            <w:hyperlink w:history="true" r:id="R0e889883232644c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Report (2017–18 reporting cycle) is 2017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(2013–2017).</w:t>
            </w:r>
          </w:p>
          <w:p>
            <w:pPr>
              <w:spacing w:after="160"/>
            </w:pPr>
            <w:r>
              <w:rPr>
                <w:rStyle w:val="row-content-rich-text"/>
              </w:rPr>
              <w:t xml:space="preserve">Single year data will be used for time series (2006, 2007, 2008, 2009, 2010, 2011, 2012, 2013, 2014, 2015, 2016 and 2017). Data for the years pre 2016 for all causes have been supplied previously. Data for specific cause of death pre 2016 have been supplied previously but for this cycle data are resupplied for 2014 (final revision) and 2015 (preliminary revision) (final revision for 2015, and preliminary revision for 2016 are not available for reporting until the next report cycle).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National Indigenous Reform Agreement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95ed0754d1403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e1bfe8c6e4418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652a6a024054f1d">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8c30be52874ae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289c0aa038c459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e757c4cc01e4fdf">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654b392c9c4f7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badbfb5951554378">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e1ba220c4a57413c">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72289059344bb">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3dcd40aaa05c474f">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f6d55c5d5f8d446f">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a02f471d3f184e40">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4664372668ba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e2eec6ce7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4372668ba4785" /><Relationship Type="http://schemas.openxmlformats.org/officeDocument/2006/relationships/header" Target="/word/header1.xml" Id="R333009280f0e49ed" /><Relationship Type="http://schemas.openxmlformats.org/officeDocument/2006/relationships/settings" Target="/word/settings.xml" Id="R821865c73ced4fa1" /><Relationship Type="http://schemas.openxmlformats.org/officeDocument/2006/relationships/styles" Target="/word/styles.xml" Id="R72328f9e98434742" /><Relationship Type="http://schemas.openxmlformats.org/officeDocument/2006/relationships/hyperlink" Target="https://meteor.aihw.gov.au/RegistrationAuthority/6" TargetMode="External" Id="Rb39c274aef0f4503" /><Relationship Type="http://schemas.openxmlformats.org/officeDocument/2006/relationships/hyperlink" Target="https://meteor.aihw.gov.au/content/697092" TargetMode="External" Id="Rae7ad4afd516498b" /><Relationship Type="http://schemas.openxmlformats.org/officeDocument/2006/relationships/hyperlink" Target="https://meteor.aihw.gov.au/RegistrationAuthority/6" TargetMode="External" Id="Rf1771cb2e4cc4b3b" /><Relationship Type="http://schemas.openxmlformats.org/officeDocument/2006/relationships/hyperlink" Target="https://meteor.aihw.gov.au/content/396115" TargetMode="External" Id="R1a1d05d7670e4440" /><Relationship Type="http://schemas.openxmlformats.org/officeDocument/2006/relationships/hyperlink" Target="https://meteor.aihw.gov.au/RegistrationAuthority/6" TargetMode="External" Id="Raf7e433ec40a4505" /><Relationship Type="http://schemas.openxmlformats.org/officeDocument/2006/relationships/hyperlink" Target="https://meteor.aihw.gov.au/content/711061" TargetMode="External" Id="Rc8ea04b6214a4371" /><Relationship Type="http://schemas.openxmlformats.org/officeDocument/2006/relationships/hyperlink" Target="https://meteor.aihw.gov.au/RegistrationAuthority/6" TargetMode="External" Id="R7bec78c96ea045a7" /><Relationship Type="http://schemas.openxmlformats.org/officeDocument/2006/relationships/numbering" Target="/word/numbering.xml" Id="Re38dbf1122384b91" /><Relationship Type="http://schemas.openxmlformats.org/officeDocument/2006/relationships/hyperlink" Target="https://meteor.aihw.gov.au/content/327276" TargetMode="External" Id="R3e25fa41614e42ea" /><Relationship Type="http://schemas.openxmlformats.org/officeDocument/2006/relationships/image" Target="/media/image2.png" Id="Rde2b6884143e4ab4" /><Relationship Type="http://schemas.openxmlformats.org/officeDocument/2006/relationships/image" Target="/media/image3.png" Id="R28227f453d8f4830" /><Relationship Type="http://schemas.openxmlformats.org/officeDocument/2006/relationships/hyperlink" Target="https://meteor.aihw.gov.au/content/394481" TargetMode="External" Id="R1d9878efb5dd4af3" /><Relationship Type="http://schemas.openxmlformats.org/officeDocument/2006/relationships/hyperlink" Target="https://meteor.aihw.gov.au/content/394481" TargetMode="External" Id="R99a525048c7a4200" /><Relationship Type="http://schemas.openxmlformats.org/officeDocument/2006/relationships/hyperlink" Target="https://meteor.aihw.gov.au/content/394490" TargetMode="External" Id="R10ba94506a3f4ca5" /><Relationship Type="http://schemas.openxmlformats.org/officeDocument/2006/relationships/hyperlink" Target="https://meteor.aihw.gov.au/content/394490" TargetMode="External" Id="Rc911e8734c81437f" /><Relationship Type="http://schemas.openxmlformats.org/officeDocument/2006/relationships/hyperlink" Target="https://meteor.aihw.gov.au/content/585823" TargetMode="External" Id="R6af49d9542c54a33" /><Relationship Type="http://schemas.openxmlformats.org/officeDocument/2006/relationships/hyperlink" Target="https://meteor.aihw.gov.au/content/585844" TargetMode="External" Id="R7ff03894df004415" /><Relationship Type="http://schemas.openxmlformats.org/officeDocument/2006/relationships/hyperlink" Target="https://meteor.aihw.gov.au/content/394481" TargetMode="External" Id="Rb755e027d40544fa" /><Relationship Type="http://schemas.openxmlformats.org/officeDocument/2006/relationships/hyperlink" Target="https://meteor.aihw.gov.au/content/394481" TargetMode="External" Id="Rd8199d865cee4934" /><Relationship Type="http://schemas.openxmlformats.org/officeDocument/2006/relationships/hyperlink" Target="https://meteor.aihw.gov.au/content/394490" TargetMode="External" Id="R0e889883232644c9" /><Relationship Type="http://schemas.openxmlformats.org/officeDocument/2006/relationships/hyperlink" Target="https://meteor.aihw.gov.au/content/410671" TargetMode="External" Id="R6095ed0754d14037" /><Relationship Type="http://schemas.openxmlformats.org/officeDocument/2006/relationships/hyperlink" Target="https://meteor.aihw.gov.au/content/585823" TargetMode="External" Id="R35e1bfe8c6e44182" /><Relationship Type="http://schemas.openxmlformats.org/officeDocument/2006/relationships/hyperlink" Target="https://meteor.aihw.gov.au/content/394481" TargetMode="External" Id="Ra652a6a024054f1d" /><Relationship Type="http://schemas.openxmlformats.org/officeDocument/2006/relationships/hyperlink" Target="https://meteor.aihw.gov.au/content/585844" TargetMode="External" Id="Rbc8c30be52874ae8" /><Relationship Type="http://schemas.openxmlformats.org/officeDocument/2006/relationships/hyperlink" Target="https://meteor.aihw.gov.au/content/394490" TargetMode="External" Id="R8289c0aa038c459e" /><Relationship Type="http://schemas.openxmlformats.org/officeDocument/2006/relationships/hyperlink" Target="https://meteor.aihw.gov.au/content/449206" TargetMode="External" Id="R6e757c4cc01e4fdf" /><Relationship Type="http://schemas.openxmlformats.org/officeDocument/2006/relationships/hyperlink" Target="https://meteor.aihw.gov.au/content/410271" TargetMode="External" Id="Ref654b392c9c4f77" /><Relationship Type="http://schemas.openxmlformats.org/officeDocument/2006/relationships/hyperlink" Target="http://www.aihw.gov.au/indigenous-data/health-performance-framework/" TargetMode="External" Id="Rbadbfb5951554378" /><Relationship Type="http://schemas.openxmlformats.org/officeDocument/2006/relationships/hyperlink" Target="http://www.iarc.fr/en/publications/pdfs-online/stat/sp82/" TargetMode="External" Id="Re1ba220c4a57413c" /><Relationship Type="http://schemas.openxmlformats.org/officeDocument/2006/relationships/hyperlink" Target="https://meteor.aihw.gov.au/content/668666" TargetMode="External" Id="Ra2172289059344bb" /><Relationship Type="http://schemas.openxmlformats.org/officeDocument/2006/relationships/hyperlink" Target="https://meteor.aihw.gov.au/RegistrationAuthority/6" TargetMode="External" Id="R3dcd40aaa05c474f" /><Relationship Type="http://schemas.openxmlformats.org/officeDocument/2006/relationships/hyperlink" Target="https://meteor.aihw.gov.au/content/718472" TargetMode="External" Id="Rf6d55c5d5f8d446f" /><Relationship Type="http://schemas.openxmlformats.org/officeDocument/2006/relationships/hyperlink" Target="https://meteor.aihw.gov.au/RegistrationAuthority/6" TargetMode="External" Id="Ra02f471d3f184e40" /></Relationships>
</file>

<file path=word/_rels/header1.xml.rels>&#65279;<?xml version="1.0" encoding="utf-8"?><Relationships xmlns="http://schemas.openxmlformats.org/package/2006/relationships"><Relationship Type="http://schemas.openxmlformats.org/officeDocument/2006/relationships/image" Target="/media/image.png" Id="R309e2eec6ce74062" /></Relationships>
</file>