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c15f4cc03d46cc"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8a-Re-operation of hip fracture patients within 30-day follow-up</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8a-Re-operation of hip fracture patients within 30-day follow-up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8a-Re-operation of hip fracture patients within 30 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e28e08af84a8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Re-operation of </w:t>
            </w:r>
            <w:hyperlink w:tooltip="For the purposes of the Hip fracture care clinical care standard (ACSQHC 2015a), hip fracture is a break occurring at the top of the thigh bone (femur), near the pelvis." w:history="true" r:id="R327935eb751b483d">
              <w:r>
                <w:rPr>
                  <w:rStyle w:val="Hyperlink"/>
                  <w:b/>
                </w:rPr>
                <w:t xml:space="preserve">hip fracture</w:t>
              </w:r>
            </w:hyperlink>
            <w:r>
              <w:rPr>
                <w:rStyle w:val="row-content-rich-text"/>
              </w:rPr>
              <w:t xml:space="preserve"> patients within 30-day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re-operations substantially increase the burden of hip fractures on society and the individual, and are potentially preventable (Luthje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8b3884c1404978">
              <w:r>
                <w:rPr>
                  <w:rStyle w:val="Hyperlink"/>
                </w:rPr>
                <w:t xml:space="preserve">Clinical care standard indicators: hip fracture 2018</w:t>
              </w:r>
            </w:hyperlink>
          </w:p>
          <w:p>
            <w:pPr>
              <w:spacing w:before="0" w:after="0"/>
            </w:pPr>
            <w:r>
              <w:rPr>
                <w:rStyle w:val="row-content"/>
                <w:color w:val="244061"/>
              </w:rPr>
              <w:t xml:space="preserve">       </w:t>
            </w:r>
            <w:hyperlink w:history="true" r:id="R7b53909fb1f24ebf">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d746853a114a07">
              <w:r>
                <w:rPr>
                  <w:rStyle w:val="Hyperlink"/>
                </w:rPr>
                <w:t xml:space="preserve">Indicators of effectiveness</w:t>
              </w:r>
            </w:hyperlink>
          </w:p>
          <w:p>
            <w:pPr>
              <w:spacing w:before="0" w:after="0"/>
            </w:pPr>
            <w:r>
              <w:rPr>
                <w:rStyle w:val="row-content"/>
                <w:color w:val="244061"/>
              </w:rPr>
              <w:t xml:space="preserve">       </w:t>
            </w:r>
            <w:hyperlink w:history="true" r:id="Re29bdf9fc0ef430d">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requiring re-operation within 30 days following admission for the acute hip fracture episode of care.</w:t>
            </w:r>
            <w:r>
              <w:rPr>
                <w:rStyle w:val="row-content-rich-text"/>
              </w:rPr>
              <w:t xml:space="preserve"> </w:t>
            </w:r>
            <w:r>
              <w:rPr>
                <w:rStyle w:val="row-content-rich-text"/>
              </w:rPr>
              <w:t xml:space="preserve">Include patients with any of the following procedures:</w:t>
            </w:r>
          </w:p>
          <w:p>
            <w:pPr>
              <w:pStyle w:val="ListParagraph"/>
              <w:numPr>
                <w:ilvl w:val="0"/>
                <w:numId w:val="2"/>
              </w:numPr>
            </w:pPr>
            <w:r>
              <w:rPr>
                <w:rStyle w:val="row-content-rich-text"/>
              </w:rPr>
              <w:t xml:space="preserve">reduction of dislocated prosthesis</w:t>
            </w:r>
          </w:p>
          <w:p>
            <w:pPr>
              <w:pStyle w:val="ListParagraph"/>
              <w:numPr>
                <w:ilvl w:val="0"/>
                <w:numId w:val="2"/>
              </w:numPr>
            </w:pPr>
            <w:r>
              <w:rPr>
                <w:rStyle w:val="row-content-rich-text"/>
              </w:rPr>
              <w:t xml:space="preserve">washout or debridement</w:t>
            </w:r>
          </w:p>
          <w:p>
            <w:pPr>
              <w:pStyle w:val="ListParagraph"/>
              <w:numPr>
                <w:ilvl w:val="0"/>
                <w:numId w:val="2"/>
              </w:numPr>
            </w:pPr>
            <w:r>
              <w:rPr>
                <w:rStyle w:val="row-content-rich-text"/>
              </w:rPr>
              <w:t xml:space="preserve">implant removal</w:t>
            </w:r>
          </w:p>
          <w:p>
            <w:pPr>
              <w:pStyle w:val="ListParagraph"/>
              <w:numPr>
                <w:ilvl w:val="0"/>
                <w:numId w:val="2"/>
              </w:numPr>
            </w:pPr>
            <w:r>
              <w:rPr>
                <w:rStyle w:val="row-content-rich-text"/>
              </w:rPr>
              <w:t xml:space="preserve">revision of internal fixation</w:t>
            </w:r>
          </w:p>
          <w:p>
            <w:pPr>
              <w:pStyle w:val="ListParagraph"/>
              <w:numPr>
                <w:ilvl w:val="0"/>
                <w:numId w:val="2"/>
              </w:numPr>
            </w:pPr>
            <w:r>
              <w:rPr>
                <w:rStyle w:val="row-content-rich-text"/>
              </w:rPr>
              <w:t xml:space="preserve">conversion to hemiarthroplasty</w:t>
            </w:r>
          </w:p>
          <w:p>
            <w:pPr>
              <w:pStyle w:val="ListParagraph"/>
              <w:numPr>
                <w:ilvl w:val="0"/>
                <w:numId w:val="2"/>
              </w:numPr>
            </w:pPr>
            <w:r>
              <w:rPr>
                <w:rStyle w:val="row-content-rich-text"/>
              </w:rPr>
              <w:t xml:space="preserve">conversion to total hip replacement</w:t>
            </w:r>
          </w:p>
          <w:p>
            <w:pPr>
              <w:pStyle w:val="ListParagraph"/>
              <w:numPr>
                <w:ilvl w:val="0"/>
                <w:numId w:val="2"/>
              </w:numPr>
            </w:pPr>
            <w:r>
              <w:rPr>
                <w:rStyle w:val="row-content-rich-text"/>
              </w:rPr>
              <w:t xml:space="preserve">girdlestone/excision arthroplasty</w:t>
            </w:r>
          </w:p>
          <w:p>
            <w:pPr>
              <w:pStyle w:val="ListParagraph"/>
              <w:numPr>
                <w:ilvl w:val="0"/>
                <w:numId w:val="2"/>
              </w:numPr>
            </w:pPr>
            <w:r>
              <w:rPr>
                <w:rStyle w:val="row-content-rich-text"/>
              </w:rPr>
              <w:t xml:space="preserve">periprosthetic fracture.</w:t>
            </w:r>
          </w:p>
          <w:p>
            <w:pPr>
              <w:spacing w:after="160"/>
            </w:pPr>
            <w:r>
              <w:rPr>
                <w:rStyle w:val="row-content-rich-text"/>
              </w:rPr>
              <w:t xml:space="preserve">Include only patients who were followed up at 30 days. The 30 days should be calculated from the </w:t>
            </w:r>
            <w:hyperlink w:history="true" r:id="R21a560ab25f94452">
              <w:r>
                <w:rPr>
                  <w:rStyle w:val="Hyperlink"/>
                </w:rPr>
                <w:t xml:space="preserve">Episode of admitted patient care—admission date, DDMMYYYY</w:t>
              </w:r>
            </w:hyperlink>
            <w:r>
              <w:rPr>
                <w:rStyle w:val="row-content-rich-text"/>
              </w:rPr>
              <w:t xml:space="preserve">, from the initial episode for the definitive treatment of the hip fracture.</w:t>
            </w:r>
          </w:p>
          <w:p>
            <w:pPr>
              <w:spacing w:after="160"/>
            </w:pPr>
            <w:r>
              <w:rPr>
                <w:rStyle w:val="row-content-rich-text"/>
              </w:rPr>
              <w:t xml:space="preserve">Note that re-operation may be to the hospital at which the patient had surgery for their hip fracture, or to another hospital. This relies on linked data and/or the use of a unique identifier preferably across a geographic region at which patients are likely to re-present (for example, a </w:t>
            </w:r>
            <w:hyperlink w:history="true" r:id="R20be9a53ca3a47c4">
              <w:r>
                <w:rPr>
                  <w:rStyle w:val="Hyperlink"/>
                </w:rPr>
                <w:t xml:space="preserve">Local Hospital Network</w:t>
              </w:r>
            </w:hyperlink>
            <w:r>
              <w:rPr>
                <w:rStyle w:val="row-content-rich-text"/>
              </w:rPr>
              <w:t xml:space="preserve">).</w:t>
            </w:r>
          </w:p>
          <w:p>
            <w:pPr/>
            <w:r>
              <w:rPr>
                <w:rStyle w:val="row-content-rich-text"/>
              </w:rPr>
              <w:t xml:space="preserve">Both the numerator and the denominator exclude patients who died during the hip fracture episode, that is, where </w:t>
            </w:r>
            <w:hyperlink w:history="true" r:id="Re909a4a86b674fe4">
              <w:r>
                <w:rPr>
                  <w:rStyle w:val="Hyperlink"/>
                </w:rPr>
                <w:t xml:space="preserve">Episode of admitted patient care—separation mode, code N</w:t>
              </w:r>
            </w:hyperlink>
            <w:r>
              <w:rPr>
                <w:rStyle w:val="row-content-rich-text"/>
              </w:rPr>
              <w:t xml:space="preserve"> = 8 Died) or were deceased at the 30-day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requiring re-operation within 30 days from admission for the acute hip fracture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 a period that is at least 30 days prior to the period for which re-operations are being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Re-operation within 30-day follow-up</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Luthje P, Helkamaa T, Nurmi-Luthje I, Kaukonen JP &amp; Kataja M 2014. An 8-year follow-up study of 221 consecutive hip fracture patients in Finland: analysis of reoperations and their direct medical costs. Scandinavian journal of surgery: SJS: Official Organ for the Finnish Surgical Society and the Scandinavian Surgical Society 103(1):46-53.</w:t>
            </w:r>
          </w:p>
          <w:p>
            <w:pPr/>
            <w:r>
              <w:rPr>
                <w:rStyle w:val="row-content-rich-text"/>
              </w:rPr>
              <w:t xml:space="preserve">ANZHFR (Australian and New Zealand Hip Fracture Registry) Steering Group 2013. Data dictionary. Sydney: ANZHFR. Viewed 5 May 2016, </w:t>
            </w:r>
            <w:hyperlink w:history="true" r:id="R8ffbc65cd0694294">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tc>
      </w:tr>
    </w:tbl>
    <w:p>
      <w:r>
        <w:br/>
      </w:r>
    </w:p>
    <w:sectPr>
      <w:footerReference xmlns:r="http://schemas.openxmlformats.org/officeDocument/2006/relationships" w:type="default" r:id="Rbbaf4c5fd78c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09f1cb24f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f4c5fd78c4595" /><Relationship Type="http://schemas.openxmlformats.org/officeDocument/2006/relationships/header" Target="/word/header1.xml" Id="R2798adcd86584581" /><Relationship Type="http://schemas.openxmlformats.org/officeDocument/2006/relationships/settings" Target="/word/settings.xml" Id="Rcdc78df072024f37" /><Relationship Type="http://schemas.openxmlformats.org/officeDocument/2006/relationships/styles" Target="/word/styles.xml" Id="Rfdd987f80327417b" /><Relationship Type="http://schemas.openxmlformats.org/officeDocument/2006/relationships/hyperlink" Target="https://meteor.aihw.gov.au/RegistrationAuthority/12" TargetMode="External" Id="R291e28e08af84a8a" /><Relationship Type="http://schemas.openxmlformats.org/officeDocument/2006/relationships/hyperlink" Target="https://meteor.aihw.gov.au/content/629165" TargetMode="External" Id="R327935eb751b483d" /><Relationship Type="http://schemas.openxmlformats.org/officeDocument/2006/relationships/hyperlink" Target="https://meteor.aihw.gov.au/content/696424" TargetMode="External" Id="R848b3884c1404978" /><Relationship Type="http://schemas.openxmlformats.org/officeDocument/2006/relationships/hyperlink" Target="https://meteor.aihw.gov.au/RegistrationAuthority/18" TargetMode="External" Id="R7b53909fb1f24ebf" /><Relationship Type="http://schemas.openxmlformats.org/officeDocument/2006/relationships/hyperlink" Target="https://meteor.aihw.gov.au/content/628293" TargetMode="External" Id="Re6d746853a114a07" /><Relationship Type="http://schemas.openxmlformats.org/officeDocument/2006/relationships/hyperlink" Target="https://meteor.aihw.gov.au/RegistrationAuthority/12" TargetMode="External" Id="Re29bdf9fc0ef430d" /><Relationship Type="http://schemas.openxmlformats.org/officeDocument/2006/relationships/numbering" Target="/word/numbering.xml" Id="R7cbd3469600f4abf" /><Relationship Type="http://schemas.openxmlformats.org/officeDocument/2006/relationships/hyperlink" Target="https://meteor.aihw.gov.au/content/269967" TargetMode="External" Id="R21a560ab25f94452" /><Relationship Type="http://schemas.openxmlformats.org/officeDocument/2006/relationships/hyperlink" Target="https://meteor.aihw.gov.au/content/491016" TargetMode="External" Id="R20be9a53ca3a47c4" /><Relationship Type="http://schemas.openxmlformats.org/officeDocument/2006/relationships/hyperlink" Target="https://meteor.aihw.gov.au/content/270094" TargetMode="External" Id="Re909a4a86b674fe4" /><Relationship Type="http://schemas.openxmlformats.org/officeDocument/2006/relationships/hyperlink" Target="http://www.anzhfr.org/images/resources/Data%20Dictionary%20v8%20Dec%202013.pdf" TargetMode="External" Id="R8ffbc65cd0694294" /></Relationships>
</file>

<file path=word/_rels/header1.xml.rels>&#65279;<?xml version="1.0" encoding="utf-8"?><Relationships xmlns="http://schemas.openxmlformats.org/package/2006/relationships"><Relationship Type="http://schemas.openxmlformats.org/officeDocument/2006/relationships/image" Target="/media/image.png" Id="R3f409f1cb24f42fe" /></Relationships>
</file>