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b30caeafb745d2"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5d-Proportion of patients with a hip fracture returning to pre-fracture mobility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5d-Proportion of patients with a hip fracture returning to pre-fracture mobility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5d-Proportion of patients with a hip fracture returning to pre-fracture mobility within 120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29d0ae8b3401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89eabd7bb24d4074">
              <w:r>
                <w:rPr>
                  <w:rStyle w:val="Hyperlink"/>
                  <w:b/>
                </w:rPr>
                <w:t xml:space="preserve">hip fracture</w:t>
              </w:r>
            </w:hyperlink>
            <w:r>
              <w:rPr>
                <w:rStyle w:val="row-content-rich-text"/>
              </w:rPr>
              <w:t xml:space="preserve"> returning to pre-fracture 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fractures are associated with loss of function, often leading to permanent disability and decreased independence in daily living (Boonen et al. 2004).</w:t>
            </w:r>
            <w:r>
              <w:rPr>
                <w:rStyle w:val="row-content-rich-text"/>
              </w:rPr>
              <w:t xml:space="preserve"> </w:t>
            </w:r>
            <w:r>
              <w:rPr>
                <w:rStyle w:val="row-content-rich-text"/>
              </w:rPr>
              <w:t xml:space="preserve">This in turn results in loss of health related quality of life for the individual (Borgstrom et al. 2013), and greater relative risk of death (Farahmand et al. 2005). Therefore, regaining independent mobility after a hip fracture is essential and is considered to be the primary goal in rehabilitation during hospitalisation and in the early post-operative period (Hulsbæk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ff41016e4a42a9">
              <w:r>
                <w:rPr>
                  <w:rStyle w:val="Hyperlink"/>
                </w:rPr>
                <w:t xml:space="preserve">Clinical care standard indicators: hip fracture 2018</w:t>
              </w:r>
            </w:hyperlink>
          </w:p>
          <w:p>
            <w:pPr>
              <w:spacing w:before="0" w:after="0"/>
            </w:pPr>
            <w:r>
              <w:rPr>
                <w:rStyle w:val="row-content"/>
                <w:color w:val="244061"/>
              </w:rPr>
              <w:t xml:space="preserve">       </w:t>
            </w:r>
            <w:hyperlink w:history="true" r:id="R587968a43b8a45ca">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e91d39465b4eca">
              <w:r>
                <w:rPr>
                  <w:rStyle w:val="Hyperlink"/>
                </w:rPr>
                <w:t xml:space="preserve">Mobilisation and weight-bearing</w:t>
              </w:r>
            </w:hyperlink>
          </w:p>
          <w:p>
            <w:pPr>
              <w:spacing w:before="0" w:after="0"/>
            </w:pPr>
            <w:r>
              <w:rPr>
                <w:rStyle w:val="row-content"/>
                <w:color w:val="244061"/>
              </w:rPr>
              <w:t xml:space="preserve">       </w:t>
            </w:r>
            <w:hyperlink w:history="true" r:id="Rc01f2e9991094663">
              <w:r>
                <w:rPr>
                  <w:rStyle w:val="Hyperlink"/>
                  <w:color w:val="244061"/>
                </w:rPr>
                <w:t xml:space="preserve">Health</w:t>
              </w:r>
            </w:hyperlink>
            <w:r>
              <w:rPr>
                <w:rStyle w:val="row-content"/>
                <w:color w:val="244061"/>
              </w:rPr>
              <w:t xml:space="preserve">, Standard 12/09/2016</w:t>
            </w:r>
          </w:p>
          <w:p>
            <w:r>
              <w:br/>
            </w:r>
          </w:p>
        </w:tc>
      </w:tr>
    </w:tbl>
    <w:p>
      <w:pPr>
        <w:pStyle w:val="Caption"/>
      </w:pPr>
      <w:r>
        <w:fldChar w:fldCharType="begin"/>
      </w:r>
      <w:r>
        <w:instrText xml:space="preserve"> SEQ TABLE \* ARABIC </w:instrText>
      </w:r>
      <w:r>
        <w:fldChar w:fldCharType="end"/>
      </w:r>
      <w:r>
        <w:rPr>
          <w:rStyle w:val="row-content-rich-text"/>
          <w:b/>
        </w:rPr>
        <w:t xml:space="preserve">Matches/ improvements in walking 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returning to pre-admission walking ability within 120 days post the admission date for the episode of admitted care at which the hip surgery was undertaken.</w:t>
            </w:r>
            <w:r>
              <w:rPr>
                <w:rStyle w:val="row-content-rich-text"/>
              </w:rPr>
              <w:t xml:space="preserve"> </w:t>
            </w:r>
            <w:r>
              <w:rPr>
                <w:rStyle w:val="row-content-rich-text"/>
              </w:rPr>
              <w:t xml:space="preserve">That is, the patient’s walking ability post-admission matches or improves on that at 120 days follow-up. The table below defines matches/improvements, comparing pre-admission walking ability with post-admission walking ability at 120 days.</w:t>
            </w:r>
          </w:p>
          <w:tbl>
            <w:tblPr>
              <w:tblStyle w:val="TableGrid"/>
              <w:tblW w:w="5000" w:type="pct"/>
              <w:tblLayout w:type="autofit"/>
            </w:tblPr>
            <w:tblGrid>
              <w:gridCol/>
              <w:gridCol/>
            </w:tblGrid>
            <w:tr>
              <w:trPr/>
              <w:tc>
                <w:tcPr>
                  <w:tcW w:w="1800" w:type="pct"/>
                  <w:vAlign w:val="top"/>
                </w:tcPr>
                <w:p>
                  <w:pPr/>
                  <w:r>
                    <w:rPr>
                      <w:rStyle w:val="row-content-rich-text"/>
                    </w:rPr>
                    <w:t xml:space="preserve">Pre-admission walking ability</w:t>
                  </w:r>
                </w:p>
              </w:tc>
              <w:tc>
                <w:tcPr>
                  <w:tcW w:w="3150" w:type="pct"/>
                  <w:vAlign w:val="top"/>
                </w:tcPr>
                <w:p>
                  <w:pPr/>
                  <w:r>
                    <w:rPr>
                      <w:rStyle w:val="row-content-rich-text"/>
                    </w:rPr>
                    <w:t xml:space="preserve">Post-admission walking ability at 120 days</w:t>
                  </w:r>
                </w:p>
              </w:tc>
            </w:tr>
            <w:tr>
              <w:trPr/>
              <w:tc>
                <w:tcPr>
                  <w:tcW w:w="1800" w:type="pct"/>
                  <w:vAlign w:val="top"/>
                </w:tcPr>
                <w:p>
                  <w:pPr/>
                  <w:r>
                    <w:rPr>
                      <w:rStyle w:val="row-content-rich-text"/>
                    </w:rPr>
                    <w:t xml:space="preserve">Usually walks without walking aids</w:t>
                  </w:r>
                </w:p>
              </w:tc>
              <w:tc>
                <w:tcPr>
                  <w:tcW w:w="3150" w:type="pct"/>
                  <w:vAlign w:val="top"/>
                </w:tcPr>
                <w:p>
                  <w:r>
                    <w:t xml:space="preserve">Usually walks without walking aids</w:t>
                  </w:r>
                </w:p>
              </w:tc>
            </w:tr>
            <w:tr>
              <w:trPr/>
              <w:tc>
                <w:tcPr>
                  <w:tcW w:w="1800" w:type="pct"/>
                  <w:vAlign w:val="top"/>
                </w:tcPr>
                <w:p>
                  <w:r>
                    <w:t xml:space="preserve">Usually walks with either a stick or crutch</w:t>
                  </w:r>
                </w:p>
              </w:tc>
              <w:tc>
                <w:tcPr>
                  <w:tcW w:w="3150" w:type="pct"/>
                  <w:vAlign w:val="top"/>
                </w:tcPr>
                <w:p>
                  <w:r>
                    <w:t xml:space="preserve">Usually walks with either a stick or crutch or</w:t>
                  </w:r>
                  <w:r>
                    <w:br/>
                  </w:r>
                  <w:r>
                    <w:t xml:space="preserve">Usually walks without walking aids</w:t>
                  </w:r>
                </w:p>
              </w:tc>
            </w:tr>
            <w:tr>
              <w:trPr/>
              <w:tc>
                <w:tcPr>
                  <w:tcW w:w="1800" w:type="pct"/>
                  <w:vAlign w:val="top"/>
                </w:tcPr>
                <w:p>
                  <w:r>
                    <w:t xml:space="preserve">Usually walks with two aids or frame (with or without</w:t>
                  </w:r>
                  <w:r>
                    <w:br/>
                  </w:r>
                  <w:r>
                    <w:t xml:space="preserve">assistance of a person)</w:t>
                  </w:r>
                </w:p>
              </w:tc>
              <w:tc>
                <w:tcPr>
                  <w:tcW w:w="3150" w:type="pct"/>
                  <w:vAlign w:val="top"/>
                </w:tcPr>
                <w:p>
                  <w:r>
                    <w:t xml:space="preserve">Usually walks with two aids or frame (with or without assistance of a person) or</w:t>
                  </w:r>
                  <w:r>
                    <w:br/>
                  </w:r>
                  <w:r>
                    <w:t xml:space="preserve">Usually walks with either a stick or crutch or</w:t>
                  </w:r>
                  <w:r>
                    <w:br/>
                  </w:r>
                  <w:r>
                    <w:t xml:space="preserve">Usually walks without walking aids</w:t>
                  </w:r>
                </w:p>
              </w:tc>
            </w:tr>
          </w:tbl>
          <w:p>
            <w:r>
              <w:t xml:space="preserve"> </w:t>
            </w:r>
          </w:p>
          <w:p>
            <w:r>
              <w:t xml:space="preserve">For both the numerator and the denominator, include only patients who were followed up at 120 days following </w:t>
            </w:r>
            <w:hyperlink w:history="true" r:id="R986171f5c09f4030">
              <w:r>
                <w:rPr>
                  <w:rStyle w:val="Hyperlink"/>
                </w:rPr>
                <w:t xml:space="preserve">Episode of admitted patient care—admission date, DDMMYYYY</w:t>
              </w:r>
            </w:hyperlink>
            <w:r>
              <w:t xml:space="preserve"> for the acute episode of care at which the hip fracture surgery was undertaken. Exclude patients who:</w:t>
            </w:r>
          </w:p>
          <w:p>
            <w:pPr>
              <w:pStyle w:val="ListParagraph"/>
              <w:numPr>
                <w:ilvl w:val="0"/>
                <w:numId w:val="2"/>
              </w:numPr>
            </w:pPr>
            <w:r>
              <w:t xml:space="preserve">Were reported at admission as ‘usually using a wheel chair/bed bound’ or their walking status was not recorded or recorded as ‘Not known’.</w:t>
            </w:r>
          </w:p>
          <w:p>
            <w:pPr>
              <w:pStyle w:val="ListParagraph"/>
              <w:numPr>
                <w:ilvl w:val="0"/>
                <w:numId w:val="2"/>
              </w:numPr>
            </w:pPr>
            <w:r>
              <w:t xml:space="preserve">Died during the hip fracture episode of care (i.e. where </w:t>
            </w:r>
            <w:hyperlink w:history="true" r:id="Ref2f6cee18ff4bc0">
              <w:r>
                <w:rPr>
                  <w:rStyle w:val="Hyperlink"/>
                </w:rPr>
                <w:t xml:space="preserve">Episode of admitted patient care—separation mode, code N</w:t>
              </w:r>
            </w:hyperlink>
            <w:r>
              <w:t xml:space="preserve">=8 Died) or were deceased at the 120-day follow-up.</w:t>
            </w:r>
          </w:p>
          <w:p>
            <w:pPr>
              <w:pStyle w:val="ListParagraph"/>
              <w:numPr>
                <w:ilvl w:val="0"/>
                <w:numId w:val="2"/>
              </w:numPr>
            </w:pPr>
            <w:r>
              <w:t xml:space="preserve">Did not undergo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returning to pre-admission walking ability within 120 days post the admission date for the hip surgery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having hip fracture surgery followed up within 120 days post the admission date for the hip surgery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variables </w:t>
            </w:r>
            <w:r>
              <w:rPr>
                <w:rStyle w:val="row-content-rich-text"/>
                <w:i/>
              </w:rPr>
              <w:t xml:space="preserve">Pre-admission walking ability </w:t>
            </w:r>
            <w:r>
              <w:rPr>
                <w:rStyle w:val="row-content-rich-text"/>
              </w:rPr>
              <w:t xml:space="preserve">and </w:t>
            </w:r>
            <w:r>
              <w:rPr>
                <w:rStyle w:val="row-content-rich-text"/>
                <w:i/>
              </w:rPr>
              <w:t xml:space="preserve">Post-admission walking ability at 120-day follow-up</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e8eea235836942ff">
              <w:r>
                <w:rPr>
                  <w:rStyle w:val="Hyperlink"/>
                </w:rPr>
                <w:t xml:space="preserve">http://www.anzhfr.org/images/resources/Data%20/&gt; 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Boonen S, Autier P, Barette M, Vanderschueren D, Lips P &amp; Haentjens P 2004. Functional outcome and quality of life following hip fracture in elderly women: a prospective controlled study. Osteoporosis international: a journal established as result of cooperation between the European Foundation for Osteoporosis and the National Osteoporosis Foundation of the USA 15(2):87-94.</w:t>
            </w:r>
          </w:p>
          <w:p>
            <w:pPr>
              <w:spacing w:after="160"/>
            </w:pPr>
            <w:r>
              <w:rPr>
                <w:rStyle w:val="row-content-rich-text"/>
              </w:rPr>
              <w:t xml:space="preserve">Borgstrom F, Lekander I, Ivergard M, Strom O, Svedbom A, Alekna V, et al. 2013. The International Costs and Utilities Related to Osteoporotic Fractures Study (ICUROS)-quality of life during the first 4 months after fracture. Osteoporosis International: a journal established as result of cooperation between the European Foundation for Osteoporosis and the National Osteoporosis Foundation of the USA 24(3):811-23.</w:t>
            </w:r>
          </w:p>
          <w:p>
            <w:pPr>
              <w:spacing w:after="160"/>
            </w:pPr>
            <w:r>
              <w:rPr>
                <w:rStyle w:val="row-content-rich-text"/>
              </w:rPr>
              <w:t xml:space="preserve">Farahmand BY, Michaelsson K, Ahlbom A, Ljunghall S, Baron JA, Swedish Hip Fracture Study Group 2005. Survival after hip fracture. Osteoporosis International: a journal established as result of cooperation between the European Foundation for Osteoporosis and the National Osteoporosis Foundation of the USA 16(12):1583-90.</w:t>
            </w:r>
          </w:p>
          <w:p>
            <w:pPr/>
            <w:r>
              <w:rPr>
                <w:rStyle w:val="row-content-rich-text"/>
              </w:rPr>
              <w:t xml:space="preserve">Hulsbæk S, Larsen RF &amp; Troelsen A 2014. Predictors of not regaining basic mobility after hip fracture surgery. Disability and Rehabilitation 0(0):1-6.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bb91cc82fc41a3">
              <w:r>
                <w:rPr>
                  <w:rStyle w:val="Hyperlink"/>
                </w:rPr>
                <w:t xml:space="preserve">Hip Fracture Clinical Care Standard: 8a-Proportion of patients with a hip fracture who returned to pre-fracture walking ability within 120 days following surgery </w:t>
              </w:r>
            </w:hyperlink>
          </w:p>
          <w:p>
            <w:pPr>
              <w:spacing w:before="0" w:after="0"/>
            </w:pPr>
            <w:r>
              <w:rPr>
                <w:rStyle w:val="row-content"/>
                <w:color w:val="244061"/>
              </w:rPr>
              <w:t xml:space="preserve">       </w:t>
            </w:r>
            <w:hyperlink w:history="true" r:id="R13bbeab1152e479c">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e9101a777ae3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10ef0c7df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01a777ae34e41" /><Relationship Type="http://schemas.openxmlformats.org/officeDocument/2006/relationships/header" Target="/word/header1.xml" Id="R2f5c0ad8c2e14e87" /><Relationship Type="http://schemas.openxmlformats.org/officeDocument/2006/relationships/settings" Target="/word/settings.xml" Id="R8c83b6affec447b7" /><Relationship Type="http://schemas.openxmlformats.org/officeDocument/2006/relationships/styles" Target="/word/styles.xml" Id="Rf5786ffee80f497b" /><Relationship Type="http://schemas.openxmlformats.org/officeDocument/2006/relationships/hyperlink" Target="https://meteor.aihw.gov.au/RegistrationAuthority/12" TargetMode="External" Id="R10329d0ae8b34015" /><Relationship Type="http://schemas.openxmlformats.org/officeDocument/2006/relationships/hyperlink" Target="https://meteor.aihw.gov.au/content/629165" TargetMode="External" Id="R89eabd7bb24d4074" /><Relationship Type="http://schemas.openxmlformats.org/officeDocument/2006/relationships/hyperlink" Target="https://meteor.aihw.gov.au/content/696424" TargetMode="External" Id="Racff41016e4a42a9" /><Relationship Type="http://schemas.openxmlformats.org/officeDocument/2006/relationships/hyperlink" Target="https://meteor.aihw.gov.au/RegistrationAuthority/18" TargetMode="External" Id="R587968a43b8a45ca" /><Relationship Type="http://schemas.openxmlformats.org/officeDocument/2006/relationships/hyperlink" Target="https://meteor.aihw.gov.au/content/628056" TargetMode="External" Id="Rcde91d39465b4eca" /><Relationship Type="http://schemas.openxmlformats.org/officeDocument/2006/relationships/hyperlink" Target="https://meteor.aihw.gov.au/RegistrationAuthority/12" TargetMode="External" Id="Rc01f2e9991094663" /><Relationship Type="http://schemas.openxmlformats.org/officeDocument/2006/relationships/hyperlink" Target="https://meteor.aihw.gov.au/content/269967" TargetMode="External" Id="R986171f5c09f4030" /><Relationship Type="http://schemas.openxmlformats.org/officeDocument/2006/relationships/numbering" Target="/word/numbering.xml" Id="R4eab315777cf47be" /><Relationship Type="http://schemas.openxmlformats.org/officeDocument/2006/relationships/hyperlink" Target="https://meteor.aihw.gov.au/content/270094" TargetMode="External" Id="Ref2f6cee18ff4bc0" /><Relationship Type="http://schemas.openxmlformats.org/officeDocument/2006/relationships/hyperlink" Target="http://www.anzhfr.org/images/resources/Data%20Dictionary%20v8%20Dec%202013.pdf" TargetMode="External" Id="Re8eea235836942ff" /><Relationship Type="http://schemas.openxmlformats.org/officeDocument/2006/relationships/hyperlink" Target="https://meteor.aihw.gov.au/content/780961" TargetMode="External" Id="R26bb91cc82fc41a3" /><Relationship Type="http://schemas.openxmlformats.org/officeDocument/2006/relationships/hyperlink" Target="https://meteor.aihw.gov.au/RegistrationAuthority/18" TargetMode="External" Id="R13bbeab1152e479c" /></Relationships>
</file>

<file path=word/_rels/header1.xml.rels>&#65279;<?xml version="1.0" encoding="utf-8"?><Relationships xmlns="http://schemas.openxmlformats.org/package/2006/relationships"><Relationship Type="http://schemas.openxmlformats.org/officeDocument/2006/relationships/image" Target="/media/image.png" Id="R74410ef0c7df46ed" /></Relationships>
</file>