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146c365f044d19" /></Relationships>
</file>

<file path=word/document.xml><?xml version="1.0" encoding="utf-8"?>
<w:document xmlns:r="http://schemas.openxmlformats.org/officeDocument/2006/relationships" xmlns:w="http://schemas.openxmlformats.org/wordprocessingml/2006/main">
  <w:body>
    <w:p>
      <w:pPr>
        <w:pStyle w:val="Title"/>
      </w:pPr>
      <w:r>
        <w:t> Hip fracture care clinical care standard indicators: 2a-Evidence of local arrangements for timely and effective pain management for hip fracture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Hip fracture care clinical care standard indicators: 2a-Evidence of local arrangements for timely and effective pain management for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2a-Evidence of local arrangements for timely and effective pain management for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b048a62424cc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timely and effective pain management for </w:t>
            </w:r>
            <w:hyperlink w:tooltip="For the purposes of the Hip fracture care clinical care standard (ACSQHC 2015a), hip fracture is a break occurring at the top of the thigh bone (femur), near the pelvis." w:history="true" r:id="Rf1cc895c145a400f">
              <w:r>
                <w:rPr>
                  <w:rStyle w:val="Hyperlink"/>
                  <w:b/>
                </w:rPr>
                <w:t xml:space="preserve">hip fracture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pain and injury of various types are inevitably interrelated and if severe and prolonged, the injury response becomes counterproductive and can have adverse effects on outcome (Macintyre et al. 2010).</w:t>
            </w:r>
          </w:p>
          <w:p>
            <w:pPr/>
            <w:r>
              <w:rPr>
                <w:rStyle w:val="row-content-rich-text"/>
              </w:rPr>
              <w:t xml:space="preserve">Specific early analgesic interventions may reduce the incidence of chronic pain after surgery (Macintyre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e50ac3c3bb4785">
              <w:r>
                <w:rPr>
                  <w:rStyle w:val="Hyperlink"/>
                </w:rPr>
                <w:t xml:space="preserve">Clinical care standard indicators: hip fracture 2018</w:t>
              </w:r>
            </w:hyperlink>
          </w:p>
          <w:p>
            <w:pPr>
              <w:spacing w:before="0" w:after="0"/>
            </w:pPr>
            <w:r>
              <w:rPr>
                <w:rStyle w:val="row-content"/>
                <w:color w:val="244061"/>
              </w:rPr>
              <w:t xml:space="preserve">       </w:t>
            </w:r>
            <w:hyperlink w:history="true" r:id="Rbc63efb2449e4948">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7795ce4654490c">
              <w:r>
                <w:rPr>
                  <w:rStyle w:val="Hyperlink"/>
                </w:rPr>
                <w:t xml:space="preserve">Pain management</w:t>
              </w:r>
            </w:hyperlink>
          </w:p>
          <w:p>
            <w:pPr>
              <w:spacing w:before="0" w:after="0"/>
            </w:pPr>
            <w:r>
              <w:rPr>
                <w:rStyle w:val="row-content"/>
                <w:color w:val="244061"/>
              </w:rPr>
              <w:t xml:space="preserve">       </w:t>
            </w:r>
            <w:hyperlink w:history="true" r:id="R22c01fc3181044a4">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that include a written clinical protocol to ensure patients with hip fracture receive prompt and effective pain management. The protocol should:</w:t>
            </w:r>
          </w:p>
          <w:p>
            <w:pPr>
              <w:pStyle w:val="ListParagraph"/>
              <w:numPr>
                <w:ilvl w:val="0"/>
                <w:numId w:val="2"/>
              </w:numPr>
            </w:pPr>
            <w:r>
              <w:rPr>
                <w:rStyle w:val="row-content-rich-text"/>
              </w:rPr>
              <w:t xml:space="preserve">Take account of the hierarchy of pain management medicine that should be considered for managing pain associated with hip fracture, aiming to minimise the use of opioid medicine.</w:t>
            </w:r>
          </w:p>
          <w:p>
            <w:pPr>
              <w:pStyle w:val="ListParagraph"/>
              <w:numPr>
                <w:ilvl w:val="0"/>
                <w:numId w:val="3"/>
              </w:numPr>
            </w:pPr>
            <w:r>
              <w:rPr>
                <w:rStyle w:val="row-content-rich-text"/>
              </w:rPr>
              <w:t xml:space="preserve">Include prescribed intervals for assessment of pain amongst hip fracture patients, as follows:</w:t>
            </w:r>
            <w:r>
              <w:br/>
            </w:r>
            <w:r>
              <w:rPr>
                <w:rStyle w:val="row-content-rich-text"/>
              </w:rPr>
              <w:t xml:space="preserve">        • immediately upon presentation to hospital, and</w:t>
            </w:r>
            <w:r>
              <w:br/>
            </w:r>
            <w:r>
              <w:rPr>
                <w:rStyle w:val="row-content-rich-text"/>
              </w:rPr>
              <w:t xml:space="preserve">        • within 30 minutes of administering initial analgesia, and</w:t>
            </w:r>
            <w:r>
              <w:br/>
            </w:r>
            <w:r>
              <w:rPr>
                <w:rStyle w:val="row-content-rich-text"/>
              </w:rPr>
              <w:t xml:space="preserve">        • hourly until settled on the ward, and</w:t>
            </w:r>
            <w:r>
              <w:br/>
            </w:r>
            <w:r>
              <w:rPr>
                <w:rStyle w:val="row-content-rich-text"/>
              </w:rPr>
              <w:t xml:space="preserve">        • regularly as part of routine nursing and other clinicians’ observations throughout admission.</w:t>
            </w:r>
          </w:p>
          <w:p>
            <w:pPr>
              <w:pStyle w:val="ListParagraph"/>
              <w:numPr>
                <w:ilvl w:val="0"/>
                <w:numId w:val="4"/>
              </w:numPr>
            </w:pPr>
            <w:r>
              <w:rPr>
                <w:rStyle w:val="row-content-rich-text"/>
              </w:rPr>
              <w:t xml:space="preserve">Include the use of a standardised pain assessment system, which specifically addresses the assessment of pain for patients with cognitive impairment and those unable to communicate pain, particularly with regard to minimising the use of opioid medicine in this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Macintyre PE, Scott DA, Schug SA, Visser EJ, Walker SM; Working Group of the Australian and New Zealand College of Anaesthetists and Faculty of Pain Medicine 2010. Acute Pain Management: Scientific Evidence 3rd edn, Melbourne: ANZCA &amp; FPM.</w:t>
            </w:r>
          </w:p>
        </w:tc>
      </w:tr>
    </w:tbl>
    <w:p>
      <w:r>
        <w:br/>
      </w:r>
    </w:p>
    <w:sectPr>
      <w:footerReference xmlns:r="http://schemas.openxmlformats.org/officeDocument/2006/relationships" w:type="default" r:id="R8efd192f39c3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117d743d3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d192f39c34b96" /><Relationship Type="http://schemas.openxmlformats.org/officeDocument/2006/relationships/header" Target="/word/header1.xml" Id="Rafdcbe6a20e94a49" /><Relationship Type="http://schemas.openxmlformats.org/officeDocument/2006/relationships/settings" Target="/word/settings.xml" Id="R9cb1385297ff4d54" /><Relationship Type="http://schemas.openxmlformats.org/officeDocument/2006/relationships/styles" Target="/word/styles.xml" Id="Rd8e52a542e4f4a2c" /><Relationship Type="http://schemas.openxmlformats.org/officeDocument/2006/relationships/hyperlink" Target="https://meteor.aihw.gov.au/RegistrationAuthority/12" TargetMode="External" Id="R644b048a62424cc8" /><Relationship Type="http://schemas.openxmlformats.org/officeDocument/2006/relationships/hyperlink" Target="https://meteor.aihw.gov.au/content/629165" TargetMode="External" Id="Rf1cc895c145a400f" /><Relationship Type="http://schemas.openxmlformats.org/officeDocument/2006/relationships/hyperlink" Target="https://meteor.aihw.gov.au/content/696424" TargetMode="External" Id="Ra7e50ac3c3bb4785" /><Relationship Type="http://schemas.openxmlformats.org/officeDocument/2006/relationships/hyperlink" Target="https://meteor.aihw.gov.au/RegistrationAuthority/18" TargetMode="External" Id="Rbc63efb2449e4948" /><Relationship Type="http://schemas.openxmlformats.org/officeDocument/2006/relationships/hyperlink" Target="https://meteor.aihw.gov.au/content/628050" TargetMode="External" Id="R6f7795ce4654490c" /><Relationship Type="http://schemas.openxmlformats.org/officeDocument/2006/relationships/hyperlink" Target="https://meteor.aihw.gov.au/RegistrationAuthority/12" TargetMode="External" Id="R22c01fc3181044a4" /><Relationship Type="http://schemas.openxmlformats.org/officeDocument/2006/relationships/numbering" Target="/word/numbering.xml" Id="R0f8717544ac344b7" /></Relationships>
</file>

<file path=word/_rels/header1.xml.rels>&#65279;<?xml version="1.0" encoding="utf-8"?><Relationships xmlns="http://schemas.openxmlformats.org/package/2006/relationships"><Relationship Type="http://schemas.openxmlformats.org/officeDocument/2006/relationships/image" Target="/media/image.png" Id="R400117d743d348cb" /></Relationships>
</file>