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9306042ad480f"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1a-Evidence of local arrangements for the management of patients with hip fracture in the emergency department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1a-Evidence of local arrangements for the management of patients with hip fracture in the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the management of patients with hip fracture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ce1ae70e7407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management of patients with </w:t>
            </w:r>
            <w:hyperlink w:tooltip="For the purposes of the Hip fracture care clinical care standard (ACSQHC 2015a), hip fracture is a break occurring at the top of the thigh bone (femur), near the pelvis." w:history="true" r:id="Ra8bbc875086145e9">
              <w:r>
                <w:rPr>
                  <w:rStyle w:val="Hyperlink"/>
                  <w:b/>
                </w:rPr>
                <w:t xml:space="preserve">hip fracture</w:t>
              </w:r>
            </w:hyperlink>
            <w:r>
              <w:rPr>
                <w:rStyle w:val="row-content-rich-text"/>
              </w:rPr>
              <w:t xml:space="preserv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sustain hip fractures are, and will continue to be, an important patient group in the Australian healthcare system. In most instances, the first hospital contact these patients will have will be when they present to an emergency department (Considine &amp; Hood 2000).</w:t>
            </w:r>
          </w:p>
          <w:p>
            <w:pPr/>
            <w:r>
              <w:rPr>
                <w:rStyle w:val="row-content-rich-text"/>
              </w:rPr>
              <w:t xml:space="preserve">Patients presenting to the emergency department with a hip fracture should be rapidly assessed and assigned to a fast track admission pathway (SIGN 2009; Hili et al. 2014). The rate of post-operative complications, including confusion, healthcare associated infection, length of hospital stay and 12 month mortality, is lower in hip fracture patients managed by a comprehensive multidisciplinary fast-track treatment and care programme (SIGN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08770054de47ac">
              <w:r>
                <w:rPr>
                  <w:rStyle w:val="Hyperlink"/>
                </w:rPr>
                <w:t xml:space="preserve">Clinical care standard indicators: hip fracture 2018</w:t>
              </w:r>
            </w:hyperlink>
          </w:p>
          <w:p>
            <w:pPr>
              <w:spacing w:before="0" w:after="0"/>
            </w:pPr>
            <w:r>
              <w:rPr>
                <w:rStyle w:val="row-content"/>
                <w:color w:val="244061"/>
              </w:rPr>
              <w:t xml:space="preserve">       </w:t>
            </w:r>
            <w:hyperlink w:history="true" r:id="Ra771e4b9875148d5">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ea5c4b16e24bd5">
              <w:r>
                <w:rPr>
                  <w:rStyle w:val="Hyperlink"/>
                </w:rPr>
                <w:t xml:space="preserve">Care at presentation</w:t>
              </w:r>
            </w:hyperlink>
          </w:p>
          <w:p>
            <w:pPr>
              <w:spacing w:before="0" w:after="0"/>
            </w:pPr>
            <w:r>
              <w:rPr>
                <w:rStyle w:val="row-content"/>
                <w:color w:val="244061"/>
              </w:rPr>
              <w:t xml:space="preserve">       </w:t>
            </w:r>
            <w:hyperlink w:history="true" r:id="Rded4a93939434c8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patients with hip fracture in the emergency department that address timely assessment and management of the patient’s medical conditions, including but not limited to:</w:t>
            </w:r>
          </w:p>
          <w:p>
            <w:pPr>
              <w:pStyle w:val="ListParagraph"/>
              <w:numPr>
                <w:ilvl w:val="0"/>
                <w:numId w:val="2"/>
              </w:numPr>
            </w:pPr>
            <w:r>
              <w:rPr>
                <w:rStyle w:val="row-content-rich-text"/>
              </w:rPr>
              <w:t xml:space="preserve">diagnostic imaging</w:t>
            </w:r>
          </w:p>
          <w:p>
            <w:pPr>
              <w:pStyle w:val="ListParagraph"/>
              <w:numPr>
                <w:ilvl w:val="0"/>
                <w:numId w:val="2"/>
              </w:numPr>
            </w:pPr>
            <w:r>
              <w:rPr>
                <w:rStyle w:val="row-content-rich-text"/>
              </w:rPr>
              <w:t xml:space="preserve">pain control</w:t>
            </w:r>
          </w:p>
          <w:p>
            <w:pPr>
              <w:pStyle w:val="ListParagraph"/>
              <w:numPr>
                <w:ilvl w:val="0"/>
                <w:numId w:val="2"/>
              </w:numPr>
            </w:pPr>
            <w:r>
              <w:rPr>
                <w:rStyle w:val="row-content-rich-text"/>
              </w:rPr>
              <w:t xml:space="preserve">cognitive assessment.</w:t>
            </w:r>
          </w:p>
          <w:p>
            <w:pPr/>
            <w:r>
              <w:rPr>
                <w:rStyle w:val="row-content-rich-text"/>
              </w:rPr>
              <w:t xml:space="preserve">The documentation may be in the form of local protocols and/or a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Considine J &amp; Hood K 2000. Emergency department management of hip fractures: development of an evidence-based clinical guideline by literature review and consensus. Emergency Medicine 12(4):329-36.</w:t>
            </w:r>
          </w:p>
          <w:p>
            <w:pPr>
              <w:spacing w:after="160"/>
            </w:pPr>
            <w:r>
              <w:rPr>
                <w:rStyle w:val="row-content-rich-text"/>
              </w:rPr>
              <w:t xml:space="preserve">Hili S, Dawe EJC, Lindisfarne EAO &amp; Stott PM 2014. Perioperative management of elderly patients suffering a hip fracture. British Journal of Hospital Medicine 75(2):78-82.</w:t>
            </w:r>
          </w:p>
          <w:p>
            <w:pPr/>
            <w:r>
              <w:rPr>
                <w:rStyle w:val="row-content-rich-text"/>
              </w:rPr>
              <w:t xml:space="preserve">SIGN (Scottish Intercollegiate Guidelines Network) 2009. Management of hip fracture in older people: a national guideline. NHS Quality Improvement Scotland (NHS QIS).</w:t>
            </w:r>
          </w:p>
        </w:tc>
      </w:tr>
    </w:tbl>
    <w:p>
      <w:r>
        <w:br/>
      </w:r>
    </w:p>
    <w:sectPr>
      <w:footerReference xmlns:r="http://schemas.openxmlformats.org/officeDocument/2006/relationships" w:type="default" r:id="R562393e247b4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3544af229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393e247b44a90" /><Relationship Type="http://schemas.openxmlformats.org/officeDocument/2006/relationships/header" Target="/word/header1.xml" Id="Rdf14a1cb67b14edb" /><Relationship Type="http://schemas.openxmlformats.org/officeDocument/2006/relationships/settings" Target="/word/settings.xml" Id="R1afc5031f44844f4" /><Relationship Type="http://schemas.openxmlformats.org/officeDocument/2006/relationships/styles" Target="/word/styles.xml" Id="R8ad99852c3084375" /><Relationship Type="http://schemas.openxmlformats.org/officeDocument/2006/relationships/hyperlink" Target="https://meteor.aihw.gov.au/RegistrationAuthority/12" TargetMode="External" Id="Re02ce1ae70e7407e" /><Relationship Type="http://schemas.openxmlformats.org/officeDocument/2006/relationships/hyperlink" Target="https://meteor.aihw.gov.au/content/629165" TargetMode="External" Id="Ra8bbc875086145e9" /><Relationship Type="http://schemas.openxmlformats.org/officeDocument/2006/relationships/hyperlink" Target="https://meteor.aihw.gov.au/content/696424" TargetMode="External" Id="Rdc08770054de47ac" /><Relationship Type="http://schemas.openxmlformats.org/officeDocument/2006/relationships/hyperlink" Target="https://meteor.aihw.gov.au/RegistrationAuthority/18" TargetMode="External" Id="Ra771e4b9875148d5" /><Relationship Type="http://schemas.openxmlformats.org/officeDocument/2006/relationships/hyperlink" Target="https://meteor.aihw.gov.au/content/628046" TargetMode="External" Id="R2eea5c4b16e24bd5" /><Relationship Type="http://schemas.openxmlformats.org/officeDocument/2006/relationships/hyperlink" Target="https://meteor.aihw.gov.au/RegistrationAuthority/12" TargetMode="External" Id="Rded4a93939434c82" /><Relationship Type="http://schemas.openxmlformats.org/officeDocument/2006/relationships/numbering" Target="/word/numbering.xml" Id="R6b9449aa9fa74bde" /></Relationships>
</file>

<file path=word/_rels/header1.xml.rels>&#65279;<?xml version="1.0" encoding="utf-8"?><Relationships xmlns="http://schemas.openxmlformats.org/package/2006/relationships"><Relationship Type="http://schemas.openxmlformats.org/officeDocument/2006/relationships/image" Target="/media/image.png" Id="R1ff3544af229427f" /></Relationships>
</file>