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a3c8cbacbf4056"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2016–17—Data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1631738374f67">
              <w:r>
                <w:rPr>
                  <w:rStyle w:val="Hyperlink"/>
                  <w:color w:val="244061"/>
                </w:rPr>
                <w:t xml:space="preserve">AIHW Data Quality Statements</w:t>
              </w:r>
            </w:hyperlink>
            <w:r>
              <w:rPr>
                <w:rStyle w:val="row-content"/>
                <w:color w:val="244061"/>
              </w:rPr>
              <w:t xml:space="preserve">, Superseded 17/04/2019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All in-scope service agencies are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Data from 2007–08 have been included in the 2016–17 annual report, for presenting 10 year trend analyses.</w:t>
            </w:r>
          </w:p>
          <w:p>
            <w:pPr>
              <w:pStyle w:val="ListParagraph"/>
              <w:numPr>
                <w:ilvl w:val="0"/>
                <w:numId w:val="2"/>
              </w:numPr>
            </w:pPr>
            <w:r>
              <w:rPr>
                <w:rStyle w:val="row-content-rich-text"/>
              </w:rPr>
              <w:t xml:space="preserve">The AODTS NMDS reports both main and additional treatment types. Victoria and Western Australia do not differentiate between main and other treatment types. This needs to be taken into account when comparing episodes from these states with other states and territories.</w:t>
            </w:r>
          </w:p>
          <w:p>
            <w:pPr>
              <w:pStyle w:val="ListParagraph"/>
              <w:numPr>
                <w:ilvl w:val="0"/>
                <w:numId w:val="2"/>
              </w:numPr>
            </w:pPr>
            <w:r>
              <w:rPr>
                <w:rStyle w:val="row-content-rich-text"/>
              </w:rPr>
              <w:t xml:space="preserve">In 2012–13, the AODTS NMDS implemented a statistical linkage key (SLK) for the first time. The linkage key enables the number of clients receiving treatment to be counted. As SLKs were not be available for all treatment episodes, imputation was used to estimate the number of clients in 2012–13, 2013–14 and 2015–16. The rate of missing or invalid SLKs has decreased from 12% in 2012–13 to 1.3% in 2016–17; in 2014–15 and 2016–17 no imputation was required for missing or invalid SLKs. Imputation was, however, applied to the 2015–16 data, due to a low response rate for New South Wales (91%). Further information about the imputation methodology applied to these data can be found online as part of the release of the </w:t>
            </w:r>
            <w:r>
              <w:rPr>
                <w:rStyle w:val="row-content-rich-text"/>
                <w:i/>
              </w:rPr>
              <w:t xml:space="preserve">Alcohol and other drug treatment services in Australia 2015–16</w:t>
            </w:r>
            <w:r>
              <w:rPr>
                <w:rStyle w:val="row-content-rich-text"/>
              </w:rPr>
              <w:t xml:space="preserve"> report.</w:t>
            </w:r>
          </w:p>
          <w:p>
            <w:pPr>
              <w:pStyle w:val="ListParagraph"/>
              <w:numPr>
                <w:ilvl w:val="0"/>
                <w:numId w:val="2"/>
              </w:numPr>
            </w:pPr>
            <w:r>
              <w:rPr>
                <w:rStyle w:val="row-content-rich-text"/>
              </w:rPr>
              <w:t xml:space="preserve">In 2016–17, the </w:t>
            </w:r>
            <w:r>
              <w:rPr>
                <w:rStyle w:val="row-content-rich-text"/>
                <w:i/>
              </w:rPr>
              <w:t xml:space="preserve">Australian Institute of Health and Welfare </w:t>
            </w:r>
            <w:r>
              <w:rPr>
                <w:rStyle w:val="row-content-rich-text"/>
              </w:rPr>
              <w:t xml:space="preserve">(AIHW) processed and aggregated data from agencies funded under the former Non–Government Organisation Treatment Grant Program (NGOTGP)—now the Drug and Alcohol Program (DAP)—on behalf of the Australian Government Department of Health (DoH) for the fifth consecutive year. In addition, the AIHW received data from agencies funded by their Primary Health Network (PHN) as part of new funding arrangements from DoH. These new PHN-funded agencies provided data to the AIHW for the first time in 2016–17.</w:t>
            </w:r>
          </w:p>
          <w:p>
            <w:pPr>
              <w:pStyle w:val="ListParagraph"/>
              <w:numPr>
                <w:ilvl w:val="0"/>
                <w:numId w:val="2"/>
              </w:numPr>
            </w:pPr>
            <w:r>
              <w:rPr>
                <w:rStyle w:val="row-content-rich-text"/>
              </w:rPr>
              <w:t xml:space="preserve">Under the new funding arrangements, funding was provided to existing AOD programs to boost their services and increase collaboration across agencies, as well as to some new treatment providers. All PHN-funded services provided data for part of the 2016–17 collection year, i.e. starting from the date upon which their funding commenced. It is expected that reporting for these services will increase in future collection years, i.e. once data for an entire collection year becomes available.</w:t>
            </w:r>
          </w:p>
          <w:p>
            <w:pPr>
              <w:spacing w:after="160"/>
            </w:pPr>
            <w:r>
              <w:rPr>
                <w:rStyle w:val="row-content-rich-text"/>
                <w:b/>
              </w:rPr>
              <w:t xml:space="preserve">Description </w:t>
            </w:r>
          </w:p>
          <w:p>
            <w:pPr>
              <w:spacing w:after="160"/>
            </w:pPr>
            <w:r>
              <w:rPr>
                <w:rStyle w:val="row-content-rich-text"/>
              </w:rPr>
              <w:t xml:space="preserve">The AIHW collects AODTS NMDS data annually on closed episodes of treatment provided to clients of alcohol and other drug treatment services, including data on drugs of concern and the types of treatment received. The AODTS NMDS counts completed treatment episodes provided to clients by in-scope alcohol and other drug treatment services. This includes all clients who had completed 1 or more treatment episodes at an alcohol and other drug treatment service that was in scope during the period 1 July 2016 to 30 June 2017.</w:t>
            </w:r>
          </w:p>
          <w:p>
            <w:pPr>
              <w:spacing w:after="160"/>
            </w:pPr>
            <w:r>
              <w:rPr>
                <w:rStyle w:val="row-content-rich-text"/>
              </w:rPr>
              <w:t xml:space="preserve">The AODTS NMDS is a collection of data from publicly-funded treatment services in all states and territories, including those directly funded by DoH. Publicly-funded alcohol and other drug treatment agencies collect the agreed data items and forward this information to the appropriate health authority such as the state/territory health authorities, contracted AOD organisations or the AIHW. Agencies are responsible for ensuring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167840272a24859">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DoH,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Alcohol and other drug treatment service providers may be required to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In 2016–17, the AIHW collected data from agencies funded under the former NGOTGP—now the DAP—as well as PHN-funded agencies as part of new funding arrangements, on behalf of DoH. The new PHN-funded agencies provided data to the AIHW for the first time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2016 to 30 June 2017.</w:t>
            </w:r>
          </w:p>
          <w:p>
            <w:pPr>
              <w:spacing w:after="160"/>
            </w:pPr>
            <w:r>
              <w:rPr>
                <w:rStyle w:val="row-content-rich-text"/>
              </w:rPr>
              <w:t xml:space="preserve">The 2016–17 AODTS national dataset was finalised by 15 January 2017, i.e. on the scheduled date.</w:t>
            </w:r>
          </w:p>
          <w:p>
            <w:pPr/>
            <w:r>
              <w:rPr>
                <w:rStyle w:val="row-content-rich-text"/>
              </w:rPr>
              <w:t xml:space="preserve">The first release of data for the 2016–17 reference period was published on 20 April 2018, with the Annual Report scheduled for release on 22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da67e9ec97314870">
              <w:r>
                <w:rPr>
                  <w:rStyle w:val="Hyperlink"/>
                </w:rPr>
                <w:t xml:space="preserve">http://www.aihw.gov.au/publications/</w:t>
              </w:r>
            </w:hyperlink>
            <w:r>
              <w:rPr>
                <w:rStyle w:val="row-content-rich-text"/>
              </w:rPr>
              <w:t xml:space="preserve">.</w:t>
            </w:r>
          </w:p>
          <w:p>
            <w:pPr>
              <w:spacing w:after="160"/>
            </w:pPr>
            <w:r>
              <w:rPr>
                <w:rStyle w:val="row-content-rich-text"/>
              </w:rPr>
              <w:t xml:space="preserve">Requests for unpublished data can be made by contacting the AIHW on (02) 6244 1000, by email to </w:t>
            </w:r>
            <w:hyperlink w:history="true" r:id="R919cabfdb6814142">
              <w:r>
                <w:rPr>
                  <w:rStyle w:val="Hyperlink"/>
                </w:rPr>
                <w:t xml:space="preserve">info@aihw.gov.au</w:t>
              </w:r>
            </w:hyperlink>
            <w:r>
              <w:rPr>
                <w:rStyle w:val="row-content-rich-text"/>
              </w:rPr>
              <w:t xml:space="preserve"> or through the AIHW’s custom data request service at </w:t>
            </w:r>
            <w:hyperlink w:history="true" r:id="R71df567c51204cbd">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 </w:t>
            </w:r>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1bc6897f5e2244c9">
              <w:r>
                <w:rPr>
                  <w:rStyle w:val="Hyperlink"/>
                </w:rPr>
                <w:t xml:space="preserve">/content/index.phtml/itemId/583090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publicly-funded alcohol and other drug treatment services. Data collected are for the financial year 2016–17.</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Information on services provided by these agencies is collected in the National Opioid Pharmacotherapy Statistical Annual Data (NOPSAD) collection.</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 such as hospitals, prisoner and mental health. The number of agencies reporting to the AODTS NMDS increased from 796 in 2015–16 to 836 in 2016–17. Jurisdictions were requested to provide information on the coverage of in–scope agencies in the data information document that accompanied their data submission. Based on the information supplied, approximately 95% of in–scope agencies nationally submitted data to the collection. There was an increase in the number of in–scope agencies that reported for New South Wales in 2016–17 (20 agencies) due to improved system access, Queensland also had an increase in agencies (5.3%).</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for opioid dependence and not receiving any other form of treatment that falls within the scope of the collection (information about pharmacotherapy treatment alone for opioid dependence is out of scope for the AODTS NMDS and is collected in the NOPSAD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 (for 'own drug use' only)</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alphabetic code based on selected letters of their name.</w:t>
            </w:r>
          </w:p>
          <w:p>
            <w:pPr>
              <w:spacing w:after="160"/>
            </w:pPr>
            <w:r>
              <w:rPr>
                <w:rStyle w:val="row-content-rich-text"/>
              </w:rPr>
              <w:t xml:space="preserve">Imputation for selected key AODTS data items is undertaken in instances where the response rate for the SLK falls below an agreed cut-off in any of the states/territories. Imputation was undertaken for the 2012–13, 2013–14 and 2015–16 collections, but was not necessary for the 2014–15 and 2016–17 collections (see the relevant data quality statements for previous collection years for more detail).</w:t>
            </w:r>
          </w:p>
          <w:p>
            <w:pPr/>
            <w:r>
              <w:rPr>
                <w:rStyle w:val="row-content-rich-text"/>
              </w:rPr>
              <w:t xml:space="preserve">Analysis of the SLK data showed that approximately 99% of national data contained a valid SLK in 2016–17, reflecting high response rates and improved SLK quality for all jurisdictions. Due to the improved response rates for SLK, no imputation was applied to the 2016–17 data. The number of estimated clients at a national level decreased from 133,895 (imputed clients) in 2015–16 to 127,404 in 2016–17; the decrease in episode numbers had an impact on client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 Data are also directly provided to the AIHW by the DAP and PHN solely funded agencies.</w:t>
            </w:r>
          </w:p>
          <w:p>
            <w:pPr>
              <w:spacing w:after="160"/>
            </w:pPr>
            <w:r>
              <w:rPr>
                <w:rStyle w:val="row-content-rich-text"/>
              </w:rPr>
              <w:t xml:space="preserve">The number of closed treatment episodes decreased from 206,635 in 2015–16 to 200,751 in 2016–17, due to state system issues and reforms. New South Wales reported a decrease of 10,018 closed treatment episodes; Queensland reported a decrease of 1,449 episodes and Tasmania a decrease of 451 episodes. All other states and territories saw an increase in closed treatment episodes.</w:t>
            </w:r>
          </w:p>
          <w:p>
            <w:pPr>
              <w:spacing w:after="160"/>
            </w:pPr>
            <w:r>
              <w:rPr>
                <w:rStyle w:val="row-content-rich-text"/>
              </w:rPr>
              <w:t xml:space="preserve">Approximately 98% of in-scope treatment services submitted data to the AODTS NMDS in 2016–17. Five jurisdictions submitted 100% of in-scope treatment services, the exceptions being New South Wales (90%), Victoria (96%) and Queensland (97%). In New South Wales, 32 in-scope agencies did not report due to continuing problems with system upgrades and resource issues.</w:t>
            </w:r>
          </w:p>
          <w:p>
            <w:pPr>
              <w:spacing w:after="160"/>
            </w:pPr>
            <w:r>
              <w:rPr>
                <w:rStyle w:val="row-content-rich-text"/>
              </w:rPr>
              <w:t xml:space="preserve">Each in-scope treatment service is required to provide information on each agency related to the service (including service delivery outlets). However, some services only provide information on the main administrative centre. As a result, the number of treatment agencies may be under-counted.</w:t>
            </w:r>
          </w:p>
          <w:p>
            <w:pPr>
              <w:spacing w:after="160"/>
            </w:pPr>
            <w:r>
              <w:rPr>
                <w:rStyle w:val="row-content-rich-text"/>
              </w:rPr>
              <w:t xml:space="preserve">Overall, the coverage of episode data in the AODTS NMDS for 2016–17 is good. For most data elements, fewer than 5% of records have missing data (including not stated or unknown responses) while fewer than 1% of records have an invalid SLK. Around 4% of records have an unknown Indigenous status. Of the records relating to episodes provided to clients receiving treatment for their own drug use, reason for cessation is not available for 7% of records, method of drug use is not available for 9% of records and injecting drug use status is not available for 15% of records.</w:t>
            </w:r>
          </w:p>
          <w:p>
            <w:pPr>
              <w:spacing w:after="160"/>
            </w:pPr>
            <w:r>
              <w:rPr>
                <w:rStyle w:val="row-content-rich-text"/>
                <w:b/>
              </w:rPr>
              <w:t xml:space="preserve">Not stated/unknown responses for data items, nationally, 2014–15 to 2016–17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Data item</w:t>
                  </w:r>
                </w:p>
              </w:tc>
              <w:tc>
                <w:tcPr>
                  <w:tcW w:w="800" w:type="pct"/>
                  <w:vAlign w:val="top"/>
                </w:tcPr>
                <w:p>
                  <w:r>
                    <w:rPr>
                      <w:b/>
                    </w:rPr>
                    <w:t xml:space="preserve">2014–15</w:t>
                  </w:r>
                </w:p>
              </w:tc>
              <w:tc>
                <w:tcPr>
                  <w:tcW w:w="800" w:type="pct"/>
                  <w:vAlign w:val="top"/>
                </w:tcPr>
                <w:p>
                  <w:r>
                    <w:rPr>
                      <w:b/>
                    </w:rPr>
                    <w:t xml:space="preserve">2015–16</w:t>
                  </w:r>
                </w:p>
              </w:tc>
              <w:tc>
                <w:tcPr>
                  <w:tcW w:w="850" w:type="pct"/>
                  <w:vAlign w:val="top"/>
                </w:tcPr>
                <w:p>
                  <w:r>
                    <w:rPr>
                      <w:b/>
                    </w:rPr>
                    <w:t xml:space="preserve">2016–17</w:t>
                  </w:r>
                </w:p>
              </w:tc>
            </w:tr>
            <w:tr>
              <w:trPr/>
              <w:tc>
                <w:tcPr>
                  <w:tcW w:w="2500" w:type="pct"/>
                  <w:vAlign w:val="top"/>
                </w:tcPr>
                <w:p>
                  <w:r>
                    <w:rPr>
                      <w:b/>
                    </w:rPr>
                    <w:t xml:space="preserve">Client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Country of birth</w:t>
                  </w:r>
                </w:p>
              </w:tc>
              <w:tc>
                <w:tcPr>
                  <w:tcW w:w="800" w:type="pct"/>
                  <w:vAlign w:val="top"/>
                </w:tcPr>
                <w:p>
                  <w:r>
                    <w:t xml:space="preserve">1.5</w:t>
                  </w:r>
                </w:p>
              </w:tc>
              <w:tc>
                <w:tcPr>
                  <w:tcW w:w="800" w:type="pct"/>
                  <w:vAlign w:val="top"/>
                </w:tcPr>
                <w:p>
                  <w:r>
                    <w:t xml:space="preserve">1.5</w:t>
                  </w:r>
                </w:p>
              </w:tc>
              <w:tc>
                <w:tcPr>
                  <w:tcW w:w="850" w:type="pct"/>
                  <w:vAlign w:val="top"/>
                </w:tcPr>
                <w:p>
                  <w:r>
                    <w:t xml:space="preserve">1.7</w:t>
                  </w:r>
                </w:p>
              </w:tc>
            </w:tr>
            <w:tr>
              <w:trPr/>
              <w:tc>
                <w:tcPr>
                  <w:tcW w:w="2500" w:type="pct"/>
                  <w:vAlign w:val="top"/>
                </w:tcPr>
                <w:p>
                  <w:r>
                    <w:t xml:space="preserve">Date of birth/age</w:t>
                  </w:r>
                </w:p>
              </w:tc>
              <w:tc>
                <w:tcPr>
                  <w:tcW w:w="800" w:type="pct"/>
                  <w:vAlign w:val="top"/>
                </w:tcPr>
                <w:p>
                  <w:r>
                    <w:t xml:space="preserve">0.0</w:t>
                  </w:r>
                </w:p>
              </w:tc>
              <w:tc>
                <w:tcPr>
                  <w:tcW w:w="800" w:type="pct"/>
                  <w:vAlign w:val="top"/>
                </w:tcPr>
                <w:p>
                  <w:r>
                    <w:t xml:space="preserve">0.1</w:t>
                  </w:r>
                </w:p>
              </w:tc>
              <w:tc>
                <w:tcPr>
                  <w:tcW w:w="850" w:type="pct"/>
                  <w:vAlign w:val="top"/>
                </w:tcPr>
                <w:p>
                  <w:r>
                    <w:t xml:space="preserve">0.2</w:t>
                  </w:r>
                </w:p>
              </w:tc>
            </w:tr>
            <w:tr>
              <w:trPr/>
              <w:tc>
                <w:tcPr>
                  <w:tcW w:w="2500" w:type="pct"/>
                  <w:vAlign w:val="top"/>
                </w:tcPr>
                <w:p>
                  <w:r>
                    <w:t xml:space="preserve">Indigenous status</w:t>
                  </w:r>
                </w:p>
              </w:tc>
              <w:tc>
                <w:tcPr>
                  <w:tcW w:w="800" w:type="pct"/>
                  <w:vAlign w:val="top"/>
                </w:tcPr>
                <w:p>
                  <w:r>
                    <w:t xml:space="preserve">5.8</w:t>
                  </w:r>
                </w:p>
              </w:tc>
              <w:tc>
                <w:tcPr>
                  <w:tcW w:w="800" w:type="pct"/>
                  <w:vAlign w:val="top"/>
                </w:tcPr>
                <w:p>
                  <w:r>
                    <w:t xml:space="preserve">4.8</w:t>
                  </w:r>
                </w:p>
              </w:tc>
              <w:tc>
                <w:tcPr>
                  <w:tcW w:w="850" w:type="pct"/>
                  <w:vAlign w:val="top"/>
                </w:tcPr>
                <w:p>
                  <w:r>
                    <w:t xml:space="preserve">3.6</w:t>
                  </w:r>
                </w:p>
              </w:tc>
            </w:tr>
            <w:tr>
              <w:trPr/>
              <w:tc>
                <w:tcPr>
                  <w:tcW w:w="2500" w:type="pct"/>
                  <w:vAlign w:val="top"/>
                </w:tcPr>
                <w:p>
                  <w:r>
                    <w:t xml:space="preserve">Preferred language</w:t>
                  </w:r>
                </w:p>
              </w:tc>
              <w:tc>
                <w:tcPr>
                  <w:tcW w:w="800" w:type="pct"/>
                  <w:vAlign w:val="top"/>
                </w:tcPr>
                <w:p>
                  <w:r>
                    <w:t xml:space="preserve">2.1</w:t>
                  </w:r>
                </w:p>
              </w:tc>
              <w:tc>
                <w:tcPr>
                  <w:tcW w:w="800" w:type="pct"/>
                  <w:vAlign w:val="top"/>
                </w:tcPr>
                <w:p>
                  <w:r>
                    <w:t xml:space="preserve">5.3</w:t>
                  </w:r>
                </w:p>
              </w:tc>
              <w:tc>
                <w:tcPr>
                  <w:tcW w:w="850" w:type="pct"/>
                  <w:vAlign w:val="top"/>
                </w:tcPr>
                <w:p>
                  <w:r>
                    <w:t xml:space="preserve">5.1</w:t>
                  </w:r>
                </w:p>
              </w:tc>
            </w:tr>
            <w:tr>
              <w:trPr/>
              <w:tc>
                <w:tcPr>
                  <w:tcW w:w="2500" w:type="pct"/>
                  <w:vAlign w:val="top"/>
                </w:tcPr>
                <w:p>
                  <w:r>
                    <w:t xml:space="preserve">Sex</w:t>
                  </w:r>
                </w:p>
              </w:tc>
              <w:tc>
                <w:tcPr>
                  <w:tcW w:w="800" w:type="pct"/>
                  <w:vAlign w:val="top"/>
                </w:tcPr>
                <w:p>
                  <w:r>
                    <w:t xml:space="preserve">0.1</w:t>
                  </w:r>
                </w:p>
              </w:tc>
              <w:tc>
                <w:tcPr>
                  <w:tcW w:w="800" w:type="pct"/>
                  <w:vAlign w:val="top"/>
                </w:tcPr>
                <w:p>
                  <w:r>
                    <w:t xml:space="preserve">0.1</w:t>
                  </w:r>
                </w:p>
              </w:tc>
              <w:tc>
                <w:tcPr>
                  <w:tcW w:w="850" w:type="pct"/>
                  <w:vAlign w:val="top"/>
                </w:tcPr>
                <w:p>
                  <w:r>
                    <w:t xml:space="preserve">0.1</w:t>
                  </w:r>
                </w:p>
              </w:tc>
            </w:tr>
            <w:tr>
              <w:trPr/>
              <w:tc>
                <w:tcPr>
                  <w:tcW w:w="2500" w:type="pct"/>
                  <w:vAlign w:val="top"/>
                </w:tcPr>
                <w:p>
                  <w:r>
                    <w:t xml:space="preserve">Source of referral</w:t>
                  </w:r>
                </w:p>
              </w:tc>
              <w:tc>
                <w:tcPr>
                  <w:tcW w:w="800" w:type="pct"/>
                  <w:vAlign w:val="top"/>
                </w:tcPr>
                <w:p>
                  <w:r>
                    <w:t xml:space="preserve">1.5</w:t>
                  </w:r>
                </w:p>
              </w:tc>
              <w:tc>
                <w:tcPr>
                  <w:tcW w:w="800" w:type="pct"/>
                  <w:vAlign w:val="top"/>
                </w:tcPr>
                <w:p>
                  <w:r>
                    <w:t xml:space="preserve">2.0</w:t>
                  </w:r>
                </w:p>
              </w:tc>
              <w:tc>
                <w:tcPr>
                  <w:tcW w:w="850" w:type="pct"/>
                  <w:vAlign w:val="top"/>
                </w:tcPr>
                <w:p>
                  <w:r>
                    <w:t xml:space="preserve">1.8</w:t>
                  </w:r>
                </w:p>
              </w:tc>
            </w:tr>
            <w:tr>
              <w:trPr/>
              <w:tc>
                <w:tcPr>
                  <w:tcW w:w="2500" w:type="pct"/>
                  <w:vAlign w:val="top"/>
                </w:tcPr>
                <w:p>
                  <w:r>
                    <w:rPr>
                      <w:b/>
                    </w:rPr>
                    <w:t xml:space="preserve">Drug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Injecting drug use*</w:t>
                  </w:r>
                </w:p>
              </w:tc>
              <w:tc>
                <w:tcPr>
                  <w:tcW w:w="800" w:type="pct"/>
                  <w:vAlign w:val="top"/>
                </w:tcPr>
                <w:p>
                  <w:r>
                    <w:t xml:space="preserve">15.4</w:t>
                  </w:r>
                </w:p>
              </w:tc>
              <w:tc>
                <w:tcPr>
                  <w:tcW w:w="800" w:type="pct"/>
                  <w:vAlign w:val="top"/>
                </w:tcPr>
                <w:p>
                  <w:r>
                    <w:t xml:space="preserve">16.1</w:t>
                  </w:r>
                </w:p>
              </w:tc>
              <w:tc>
                <w:tcPr>
                  <w:tcW w:w="850" w:type="pct"/>
                  <w:vAlign w:val="top"/>
                </w:tcPr>
                <w:p>
                  <w:r>
                    <w:t xml:space="preserve">15.9</w:t>
                  </w:r>
                </w:p>
              </w:tc>
            </w:tr>
            <w:tr>
              <w:trPr/>
              <w:tc>
                <w:tcPr>
                  <w:tcW w:w="2500" w:type="pct"/>
                  <w:vAlign w:val="top"/>
                </w:tcPr>
                <w:p>
                  <w:r>
                    <w:t xml:space="preserve">Method of use*</w:t>
                  </w:r>
                </w:p>
              </w:tc>
              <w:tc>
                <w:tcPr>
                  <w:tcW w:w="800" w:type="pct"/>
                  <w:vAlign w:val="top"/>
                </w:tcPr>
                <w:p>
                  <w:r>
                    <w:t xml:space="preserve">7.4</w:t>
                  </w:r>
                </w:p>
              </w:tc>
              <w:tc>
                <w:tcPr>
                  <w:tcW w:w="800" w:type="pct"/>
                  <w:vAlign w:val="top"/>
                </w:tcPr>
                <w:p>
                  <w:r>
                    <w:t xml:space="preserve">8.7</w:t>
                  </w:r>
                </w:p>
              </w:tc>
              <w:tc>
                <w:tcPr>
                  <w:tcW w:w="850" w:type="pct"/>
                  <w:vAlign w:val="top"/>
                </w:tcPr>
                <w:p>
                  <w:r>
                    <w:t xml:space="preserve">8.1</w:t>
                  </w:r>
                </w:p>
              </w:tc>
            </w:tr>
            <w:tr>
              <w:trPr/>
              <w:tc>
                <w:tcPr>
                  <w:tcW w:w="2500" w:type="pct"/>
                  <w:vAlign w:val="top"/>
                </w:tcPr>
                <w:p>
                  <w:r>
                    <w:rPr>
                      <w:b/>
                    </w:rPr>
                    <w:t xml:space="preserve">Treatment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Reason for cessation</w:t>
                  </w:r>
                </w:p>
              </w:tc>
              <w:tc>
                <w:tcPr>
                  <w:tcW w:w="800" w:type="pct"/>
                  <w:vAlign w:val="top"/>
                </w:tcPr>
                <w:p>
                  <w:r>
                    <w:t xml:space="preserve">4.4</w:t>
                  </w:r>
                </w:p>
              </w:tc>
              <w:tc>
                <w:tcPr>
                  <w:tcW w:w="800" w:type="pct"/>
                  <w:vAlign w:val="top"/>
                </w:tcPr>
                <w:p>
                  <w:r>
                    <w:t xml:space="preserve">7.3</w:t>
                  </w:r>
                </w:p>
              </w:tc>
              <w:tc>
                <w:tcPr>
                  <w:tcW w:w="850" w:type="pct"/>
                  <w:vAlign w:val="top"/>
                </w:tcPr>
                <w:p>
                  <w:r>
                    <w:t xml:space="preserve">6.8</w:t>
                  </w:r>
                </w:p>
              </w:tc>
            </w:tr>
            <w:tr>
              <w:trPr/>
              <w:tc>
                <w:tcPr>
                  <w:tcW w:w="2500" w:type="pct"/>
                  <w:vAlign w:val="top"/>
                </w:tcPr>
                <w:p>
                  <w:r>
                    <w:t xml:space="preserve">Treatment delivery setting</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 </w:t>
            </w:r>
          </w:p>
          <w:p>
            <w:r>
              <w:t xml:space="preserve">Not all jurisdictions code drug of concern using the full </w:t>
            </w:r>
            <w:r>
              <w:rPr>
                <w:i/>
              </w:rPr>
              <w:t xml:space="preserve">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2016–17, approximately 1.6% of records had a missing postcode, ranging from zero in Western Australia to 2.2% of records in Victoria.</w:t>
            </w:r>
          </w:p>
          <w:p>
            <w:r>
              <w:t xml:space="preserve"> </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During the 2016–17 collection cycle, all New South Wales LHDs have finalised migration to this system and are now reporting the New South Wales Minimum Data Set. There has been some difficulty reporting data for the AODTS NMDS due to the ongoing extract modifications and data quality issues. Therefore the data in New South Wales has been under reported for 2016–17.</w:t>
            </w:r>
          </w:p>
          <w:p>
            <w:r>
              <w:t xml:space="preserve">The majority of non–government organisation (NGO) data are collected via the NADA (Network of Alcohol and other Drug Agencies) online system. During the collection period there have been a number of bespoke systems receiving upgrades. There has been difficulty reporting data due to the ongoing development and testing of extracts. Therefore the data for New South Wales NGO services has been under-reported. </w:t>
            </w:r>
          </w:p>
          <w:p>
            <w:r>
              <w:rPr>
                <w:b/>
              </w:rPr>
              <w:t xml:space="preserve">Victoria</w:t>
            </w:r>
          </w:p>
          <w:p>
            <w:r>
              <w:t xml:space="preserve">Adult-focused Alcohol and other drug treatment was re–commissioned in late 2014 and is now delivered through a number of treatment streams within catchment areas. These treatment streams include intake, counselling, withdrawal, rehabilitation and pharmacotherapy. These treatment streams are also supported by a separate planning function, led by a funded service provider in each catchment.</w:t>
            </w:r>
          </w:p>
          <w:p>
            <w:r>
              <w:t xml:space="preserve">The key deliverable for the re–commissioned activity in Victoria is the Drug Treatment Activity Unit (DTAU), based on the number of closed Courses of Treatment.</w:t>
            </w:r>
          </w:p>
          <w:p>
            <w:r>
              <w:t xml:space="preserve">For the remaining services the deliverable remains the Episode of Care. Agencies funded to provide drug treatment services in Victoria have service provision targets, which are defined in terms of number of episodes of care or DTAUs to be provided, by service type and by target group (for example, youth). As a requirement of their funding agreement with the Victorian Department of Health &amp; Human Services, agencies are required to submit data quarterly detailing their provision of drug treatment services and achievement of episodes of care. A subset of this data is contributed to the AODTS NMDS annually.</w:t>
            </w:r>
          </w:p>
          <w:p>
            <w:r>
              <w:t xml:space="preserve">Note that a reduction in Victorian Alcohol and Other Drug Treatment annual activity is evident in the AODTS NMDS during 2014–15; this is associated with the service system re–commissioning.</w:t>
            </w:r>
          </w:p>
          <w:p>
            <w:r>
              <w:t xml:space="preserve">Also, 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t xml:space="preserve">Victoria only provides information about non–government agencies that receive public funding.</w:t>
            </w:r>
          </w:p>
          <w:p>
            <w:r>
              <w:rPr>
                <w:b/>
              </w:rPr>
              <w:t xml:space="preserve">Queensland</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In Queensland, smoking cessation therapy is an endorsed model of services that is delivered through public alcohol and other drug services.</w:t>
            </w:r>
          </w:p>
          <w:p>
            <w:r>
              <w:t xml:space="preserve">Information system implementation issues with the collection and reporting of the Accommodation type data element, particularly for diversion clients, had an impact on the data quality for this item in 2015–16 and, to a lesser extent, 2016-17.</w:t>
            </w:r>
          </w:p>
          <w:p>
            <w:r>
              <w:rPr>
                <w:b/>
              </w:rPr>
              <w:t xml:space="preserve">Western Australia</w:t>
            </w:r>
          </w:p>
          <w:p>
            <w:r>
              <w:t xml:space="preserve">Data are provided by both the government and non–government sectors. Non–government services are contracted by the </w:t>
            </w:r>
            <w:r>
              <w:rPr>
                <w:i/>
              </w:rPr>
              <w:t xml:space="preserve">Mental Health Commission </w:t>
            </w:r>
            <w:r>
              <w:t xml:space="preserve">(MHC), to provide alcohol and other drug treatment services. Services have contractual obligations to incorporate the data elements of the AODTS NMDS in their collections. Services are also obliged to provide treatment episode data in a regular and timely manner to the MHC. These data items are collated and checked by the MHC regularly, including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Some non–government and government non–residential treatment services provided in the Perth metropolitan area are co–located and operate as an integrated service. Time series data do not adequately illustrate these changes.</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Drug and Alcohol Program (formerly NGOTGP). These data are provided to DoH via AIHW.</w:t>
            </w:r>
          </w:p>
          <w:p>
            <w:r>
              <w:rPr>
                <w:b/>
              </w:rPr>
              <w:t xml:space="preserve">Tasmania</w:t>
            </w:r>
          </w:p>
          <w:p>
            <w: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Australian Capital Territory alcohol and other drug treatment service providers supply ACT Health with their complete data collection for the AODTS NMDS by 31 August each financial year. The services provide data via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using an online data portal.</w:t>
            </w:r>
          </w:p>
          <w:p>
            <w:r>
              <w:rPr>
                <w:b/>
              </w:rPr>
              <w:t xml:space="preserve">Australian Government Department of Health (DoH)</w:t>
            </w:r>
          </w:p>
          <w:p>
            <w:r>
              <w:t xml:space="preserve">DoH funds a number of alcohol and other drug treatment services under the </w:t>
            </w:r>
            <w:r>
              <w:rPr>
                <w:i/>
              </w:rPr>
              <w:t xml:space="preserve">Drug and Alcohol Program </w:t>
            </w:r>
            <w:r>
              <w:t xml:space="preserve">(DAP). Some agencies are funded by DoH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annual data directly to the AIHW.</w:t>
            </w:r>
          </w:p>
          <w:p>
            <w:r>
              <w:t xml:space="preserve">Reported numbers for each state and territory in the AODTS NMDS annual report include services provided under the DAP.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Statistical Area level 2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w:t>
            </w:r>
          </w:p>
          <w:p>
            <w:pPr>
              <w:spacing w:after="160"/>
            </w:pPr>
            <w:r>
              <w:rPr>
                <w:rStyle w:val="row-content-rich-text"/>
              </w:rPr>
              <w:t xml:space="preserve">Preferred language was updated for the 2012–13 collection period to use the </w:t>
            </w:r>
            <w:r>
              <w:rPr>
                <w:rStyle w:val="row-content-rich-text"/>
                <w:i/>
              </w:rPr>
              <w:t xml:space="preserve">Australian Standard Classification of Languages </w:t>
            </w:r>
            <w:r>
              <w:rPr>
                <w:rStyle w:val="row-content-rich-text"/>
              </w:rPr>
              <w:t xml:space="preserve">(ASCL), 2011.</w:t>
            </w:r>
          </w:p>
          <w:p>
            <w:pPr>
              <w:spacing w:after="160"/>
            </w:pPr>
            <w:r>
              <w:rPr>
                <w:rStyle w:val="row-content-rich-text"/>
              </w:rPr>
              <w:t xml:space="preserve">The number of closed treatment episodes increased from 170,367 in 2014–15 to 206,635 in 2015–16, then decreased to 200,751 in 2016–17.</w:t>
            </w:r>
          </w:p>
          <w:p>
            <w:pPr>
              <w:spacing w:after="160"/>
            </w:pPr>
            <w:r>
              <w:rPr>
                <w:rStyle w:val="row-content-rich-text"/>
              </w:rPr>
              <w:t xml:space="preserve">Several factors can contribute to changes in the number of agencies reporting between years, as well as changes in the number of in-scope agencies. Some jurisdictions may change data collection approaches, e.g. by moving from collecting data at an administrative or management level to a service outlet level.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w:t>
            </w:r>
          </w:p>
          <w:p>
            <w:pPr>
              <w:spacing w:after="160"/>
            </w:pPr>
            <w:r>
              <w:rPr>
                <w:rStyle w:val="row-content-rich-text"/>
              </w:rPr>
              <w:t xml:space="preserve">The AODTS NMDS reports on both main and additional treatment types. Data on treatment types from Victoria and Western Australia are not directly comparable with data from other jurisdictions. This should be taken into consideration when comparing when comparing episodes from these states with those of other states and territories. Victoria and Western Australia do not differentiate between main and other treatment types.</w:t>
            </w:r>
          </w:p>
          <w:p>
            <w:pPr>
              <w:spacing w:after="160"/>
            </w:pPr>
            <w:r>
              <w:rPr>
                <w:rStyle w:val="row-content-rich-text"/>
              </w:rPr>
              <w:t xml:space="preserve">In 2015–16 and 2016–17, Victoria continued to report a high proportion of records (approximately 11,000 records) coded as miscellaneous drug (9000 or 9999) for principal drug of concern. In 2016–17, this resulted in an increase in the national total for drugs that fall into the category ‘Other drugs’.  </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spacing w:after="160"/>
            </w:pPr>
            <w:r>
              <w:rPr>
                <w:rStyle w:val="row-content-rich-text"/>
              </w:rPr>
              <w:t xml:space="preserve">In 2016–17, the AIHW processed and aggregated data from agencies funded under the former NGOTGP—now the DAP—on behalf of DoH for the fifth consecutive year. In addition, the AIHW received data from agencies funded by their PHN as part of new funding arrangements from DoH. These new PHN-funded agencies provided data to the AIHW for the first time in 2016–17.</w:t>
            </w:r>
          </w:p>
          <w:p>
            <w:pPr>
              <w:spacing w:after="160"/>
            </w:pPr>
            <w:r>
              <w:rPr>
                <w:rStyle w:val="row-content-rich-text"/>
              </w:rPr>
              <w:t xml:space="preserve">Under the new funding arrangements, funding was provided to existing AOD programs to boost their services and increase collaboration across agencies, as well as to some new treatment providers. All PHN-funded services provided data for part of the 2016–17 collection year, i.e. starting from the date upon which their funding commenced. It is expected that reporting for these services will increase in future collection years, i.e. once data for an entire collection year becomes available.</w:t>
            </w:r>
          </w:p>
          <w:p>
            <w:pPr>
              <w:spacing w:after="160"/>
            </w:pPr>
            <w:r>
              <w:rPr>
                <w:rStyle w:val="row-content-rich-text"/>
              </w:rPr>
              <w:t xml:space="preserve"> </w:t>
            </w:r>
          </w:p>
          <w:p>
            <w:pPr/>
            <w:r>
              <w:rPr>
                <w:rStyle w:val="row-content-rich-text"/>
              </w:rPr>
              <w:t xml:space="preserve">The state and territory health departments and DAP and PHN solely funded agencies provide data to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8f22aa58c4c7a">
              <w:r>
                <w:rPr>
                  <w:rStyle w:val="Hyperlink"/>
                </w:rPr>
                <w:t xml:space="preserve">Alcohol and other drug treatment services NMDS, 2015–16; Quality Statement</w:t>
              </w:r>
            </w:hyperlink>
          </w:p>
          <w:p>
            <w:pPr>
              <w:spacing w:before="0" w:after="0"/>
            </w:pPr>
            <w:r>
              <w:rPr>
                <w:rStyle w:val="row-content"/>
                <w:color w:val="244061"/>
              </w:rPr>
              <w:t xml:space="preserve">       </w:t>
            </w:r>
            <w:hyperlink w:history="true" r:id="R827bd0f80c6a49ae">
              <w:r>
                <w:rPr>
                  <w:rStyle w:val="Hyperlink"/>
                  <w:color w:val="244061"/>
                </w:rPr>
                <w:t xml:space="preserve">AIHW Data Quality Statements</w:t>
              </w:r>
            </w:hyperlink>
            <w:r>
              <w:rPr>
                <w:rStyle w:val="row-content"/>
                <w:color w:val="244061"/>
              </w:rPr>
              <w:t xml:space="preserve">, Superseded 20/04/2018</w:t>
            </w:r>
          </w:p>
          <w:p>
            <w:r>
              <w:br/>
            </w:r>
            <w:r>
              <w:rPr>
                <w:rStyle w:val="row-content"/>
              </w:rPr>
              <w:t xml:space="preserve">Has been superseded by </w:t>
            </w:r>
            <w:hyperlink w:history="true" r:id="R55f3742268bd4d9a">
              <w:r>
                <w:rPr>
                  <w:rStyle w:val="Hyperlink"/>
                </w:rPr>
                <w:t xml:space="preserve">Alcohol and other drug treatment services NMDS, 2017–18; Quality Statement</w:t>
              </w:r>
            </w:hyperlink>
          </w:p>
          <w:p>
            <w:pPr>
              <w:spacing w:before="0" w:after="0"/>
            </w:pPr>
            <w:r>
              <w:rPr>
                <w:rStyle w:val="row-content"/>
                <w:color w:val="244061"/>
              </w:rPr>
              <w:t xml:space="preserve">       </w:t>
            </w:r>
            <w:hyperlink w:history="true" r:id="R0498122a7a204f92">
              <w:r>
                <w:rPr>
                  <w:rStyle w:val="Hyperlink"/>
                  <w:color w:val="244061"/>
                </w:rPr>
                <w:t xml:space="preserve">AIHW Data Quality Statements</w:t>
              </w:r>
            </w:hyperlink>
            <w:r>
              <w:rPr>
                <w:rStyle w:val="row-content"/>
                <w:color w:val="244061"/>
              </w:rPr>
              <w:t xml:space="preserve">, Superseded 26/06/2020</w:t>
            </w:r>
          </w:p>
          <w:p>
            <w:r>
              <w:br/>
            </w:r>
          </w:p>
        </w:tc>
      </w:tr>
    </w:tbl>
    <w:p>
      <w:r>
        <w:br/>
      </w:r>
    </w:p>
    <w:sectPr>
      <w:footerReference xmlns:r="http://schemas.openxmlformats.org/officeDocument/2006/relationships" w:type="default" r:id="R7af040392d0a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693818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7131a0831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f040392d0a492f" /><Relationship Type="http://schemas.openxmlformats.org/officeDocument/2006/relationships/header" Target="/word/header1.xml" Id="R7d16c446b5eb4254" /><Relationship Type="http://schemas.openxmlformats.org/officeDocument/2006/relationships/settings" Target="/word/settings.xml" Id="Reab7585d0bff4e43" /><Relationship Type="http://schemas.openxmlformats.org/officeDocument/2006/relationships/styles" Target="/word/styles.xml" Id="R9f3e65088e8f447a" /><Relationship Type="http://schemas.openxmlformats.org/officeDocument/2006/relationships/hyperlink" Target="https://meteor.aihw.gov.au/RegistrationAuthority/5" TargetMode="External" Id="Rdee1631738374f67" /><Relationship Type="http://schemas.openxmlformats.org/officeDocument/2006/relationships/numbering" Target="/word/numbering.xml" Id="R40109d718b664ea3" /><Relationship Type="http://schemas.openxmlformats.org/officeDocument/2006/relationships/hyperlink" Target="http://www.aihw.gov.au/" TargetMode="External" Id="Rc167840272a24859" /><Relationship Type="http://schemas.openxmlformats.org/officeDocument/2006/relationships/hyperlink" Target="http://www.aihw.gov.au/publications/" TargetMode="External" Id="Rda67e9ec97314870" /><Relationship Type="http://schemas.openxmlformats.org/officeDocument/2006/relationships/hyperlink" Target="mailto:info@aihw.gov.au" TargetMode="External" Id="R919cabfdb6814142" /><Relationship Type="http://schemas.openxmlformats.org/officeDocument/2006/relationships/hyperlink" Target="https://www.aihw.gov.au/our-services/data-on-request" TargetMode="External" Id="R71df567c51204cbd" /><Relationship Type="http://schemas.openxmlformats.org/officeDocument/2006/relationships/hyperlink" Target="https://meteor.aihw.gov.au/content/583090" TargetMode="External" Id="R1bc6897f5e2244c9" /><Relationship Type="http://schemas.openxmlformats.org/officeDocument/2006/relationships/hyperlink" Target="https://meteor.aihw.gov.au/content/667446" TargetMode="External" Id="Ra608f22aa58c4c7a" /><Relationship Type="http://schemas.openxmlformats.org/officeDocument/2006/relationships/hyperlink" Target="https://meteor.aihw.gov.au/RegistrationAuthority/5" TargetMode="External" Id="R827bd0f80c6a49ae" /><Relationship Type="http://schemas.openxmlformats.org/officeDocument/2006/relationships/hyperlink" Target="https://meteor.aihw.gov.au/content/713818" TargetMode="External" Id="R55f3742268bd4d9a" /><Relationship Type="http://schemas.openxmlformats.org/officeDocument/2006/relationships/hyperlink" Target="https://meteor.aihw.gov.au/RegistrationAuthority/5" TargetMode="External" Id="R0498122a7a204f92" /></Relationships>
</file>

<file path=word/_rels/header1.xml.rels>&#65279;<?xml version="1.0" encoding="utf-8"?><Relationships xmlns="http://schemas.openxmlformats.org/package/2006/relationships"><Relationship Type="http://schemas.openxmlformats.org/officeDocument/2006/relationships/image" Target="/media/image.png" Id="R4e57131a0831446f" /></Relationships>
</file>