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9f0056359447bd"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2-Proportion of patients undergoing a colonoscopy who have their entire colon examined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2-Proportion of patients undergoing a colonoscopy who have their entire colon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undergoing a colonoscopy who have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c27cbc28b4916">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hyperlink w:history="true" r:id="Rea1aaf555e9d405b">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e19ed6cf48614234">
              <w:r>
                <w:rPr>
                  <w:rStyle w:val="Hyperlink"/>
                  <w:b/>
                </w:rPr>
                <w:t xml:space="preserve">colonoscopy</w:t>
              </w:r>
            </w:hyperlink>
            <w:r>
              <w:rPr>
                <w:rStyle w:val="row-content-rich-text"/>
              </w:rPr>
              <w:t xml:space="preserve"> who have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13e6b3f0164bc2">
              <w:r>
                <w:rPr>
                  <w:rStyle w:val="Hyperlink"/>
                </w:rPr>
                <w:t xml:space="preserve">Clinical care standard indicators: colonoscopy</w:t>
              </w:r>
            </w:hyperlink>
          </w:p>
          <w:p>
            <w:pPr>
              <w:spacing w:before="0" w:after="0"/>
            </w:pPr>
            <w:r>
              <w:rPr>
                <w:rStyle w:val="row-content"/>
                <w:color w:val="244061"/>
              </w:rPr>
              <w:t xml:space="preserve">       </w:t>
            </w:r>
            <w:hyperlink w:history="true" r:id="Rcc5cf1c82a354b7a">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8cbe6a05f3ee4e4a">
              <w:r>
                <w:rPr>
                  <w:rStyle w:val="Hyperlink"/>
                  <w:color w:val="244061"/>
                </w:rPr>
                <w:t xml:space="preserve">Health</w:t>
              </w:r>
            </w:hyperlink>
            <w:r>
              <w:rPr>
                <w:rStyle w:val="row-content"/>
                <w:color w:val="244061"/>
              </w:rPr>
              <w:t xml:space="preserve">, Standard 26/03/2019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'entire colon examined’ means that the entire length of the colon has been visualised, including the caecum and/or terminal ileum. For the patient to be counted as having their entire colon examined</w:t>
            </w:r>
            <w:r>
              <w:rPr>
                <w:rStyle w:val="row-content-rich-text"/>
                <w:b/>
              </w:rPr>
              <w:t xml:space="preserve">, </w:t>
            </w:r>
            <w:r>
              <w:rPr>
                <w:rStyle w:val="row-content-rich-text"/>
              </w:rPr>
              <w:t xml:space="preserve">photographic documentation of caecal intubation should be obtained. Satisfactory evidence the entire colon has been examined is considered to be:</w:t>
            </w:r>
          </w:p>
          <w:p>
            <w:pPr>
              <w:pStyle w:val="ListParagraph"/>
              <w:numPr>
                <w:ilvl w:val="0"/>
                <w:numId w:val="2"/>
              </w:numPr>
            </w:pPr>
            <w:r>
              <w:rPr>
                <w:rStyle w:val="row-content-rich-text"/>
              </w:rPr>
              <w:t xml:space="preserve">a photo of the terminal ileum where villi or lymphoid hyperplasia can be clearly seen, or</w:t>
            </w:r>
          </w:p>
          <w:p>
            <w:pPr>
              <w:pStyle w:val="ListParagraph"/>
              <w:numPr>
                <w:ilvl w:val="0"/>
                <w:numId w:val="2"/>
              </w:numPr>
            </w:pPr>
            <w:r>
              <w:rPr>
                <w:rStyle w:val="row-content-rich-text"/>
              </w:rPr>
              <w:t xml:space="preserve">a photo of the terminal ileum where the ileo-cecal valve, either open or en face, can be clearly seen, or</w:t>
            </w:r>
          </w:p>
          <w:p>
            <w:pPr>
              <w:pStyle w:val="ListParagraph"/>
              <w:numPr>
                <w:ilvl w:val="0"/>
                <w:numId w:val="2"/>
              </w:numPr>
            </w:pPr>
            <w:r>
              <w:rPr>
                <w:rStyle w:val="row-content-rich-text"/>
              </w:rPr>
              <w:t xml:space="preserve">a photo of the appendiceal orifice where either the caecal strap fold or the ileo-cecal valve can also be clearly seen in the same image, or </w:t>
            </w:r>
          </w:p>
          <w:p>
            <w:pPr>
              <w:pStyle w:val="ListParagraph"/>
              <w:numPr>
                <w:ilvl w:val="0"/>
                <w:numId w:val="2"/>
              </w:numPr>
            </w:pPr>
            <w:r>
              <w:rPr>
                <w:rStyle w:val="row-content-rich-text"/>
              </w:rPr>
              <w:t xml:space="preserve">a pathology report of mucosa of the terminal ileum.</w:t>
            </w:r>
          </w:p>
          <w:p>
            <w:pPr>
              <w:spacing w:after="160"/>
            </w:pPr>
            <w:r>
              <w:rPr>
                <w:rStyle w:val="row-content-rich-text"/>
              </w:rPr>
              <w:t xml:space="preserve">The Gastroenterological Society of Australia's website (GESA 2018) provides examples of what is considered sufficient or insufficient as photographic evidence.</w:t>
            </w:r>
          </w:p>
          <w:p>
            <w:pPr>
              <w:spacing w:after="160"/>
            </w:pPr>
            <w:r>
              <w:rPr>
                <w:rStyle w:val="row-content-rich-text"/>
              </w:rPr>
              <w:t xml:space="preserve">This indicator excludes patients with severe colitis, impassable stricture(s), and incomplete colons due to previous resection(s).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 who had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GESA (Gastroenterological Society of Australia) 2018. Colonoscopy Recertification Program Image Guidelines. Melbourne: GESA. Viewed 31 May 2018, http://recert.gesa.org.au/imageGuidelines.php.</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10443436614230">
              <w:r>
                <w:rPr>
                  <w:rStyle w:val="Hyperlink"/>
                </w:rPr>
                <w:t xml:space="preserve">Colonoscopy clinical care standard indicators: 2-Proportion of patients undergoing a colonoscopy who have their entire colon examined</w:t>
              </w:r>
            </w:hyperlink>
          </w:p>
          <w:p>
            <w:pPr>
              <w:spacing w:before="0" w:after="0"/>
            </w:pPr>
            <w:r>
              <w:rPr>
                <w:rStyle w:val="row-content"/>
                <w:color w:val="244061"/>
              </w:rPr>
              <w:t xml:space="preserve">       </w:t>
            </w:r>
            <w:hyperlink w:history="true" r:id="R8e0f1c99622149ba">
              <w:r>
                <w:rPr>
                  <w:rStyle w:val="Hyperlink"/>
                  <w:color w:val="244061"/>
                </w:rPr>
                <w:t xml:space="preserve">Health</w:t>
              </w:r>
            </w:hyperlink>
            <w:r>
              <w:rPr>
                <w:rStyle w:val="row-content"/>
                <w:color w:val="244061"/>
              </w:rPr>
              <w:t xml:space="preserve">, Qualified 19/09/2019</w:t>
            </w:r>
          </w:p>
          <w:p>
            <w:r>
              <w:br/>
            </w:r>
          </w:p>
        </w:tc>
      </w:tr>
    </w:tbl>
    <w:p>
      <w:r>
        <w:br/>
      </w:r>
    </w:p>
    <w:sectPr>
      <w:footerReference xmlns:r="http://schemas.openxmlformats.org/officeDocument/2006/relationships" w:type="default" r:id="R40ec28794496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691703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7ee814b84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c287944964b67" /><Relationship Type="http://schemas.openxmlformats.org/officeDocument/2006/relationships/header" Target="/word/header1.xml" Id="R3356c7954e9a4986" /><Relationship Type="http://schemas.openxmlformats.org/officeDocument/2006/relationships/settings" Target="/word/settings.xml" Id="Rf2922fd27649489d" /><Relationship Type="http://schemas.openxmlformats.org/officeDocument/2006/relationships/styles" Target="/word/styles.xml" Id="R94ac9fdd55724524" /><Relationship Type="http://schemas.openxmlformats.org/officeDocument/2006/relationships/hyperlink" Target="https://meteor.aihw.gov.au/RegistrationAuthority/18" TargetMode="External" Id="Rceac27cbc28b4916" /><Relationship Type="http://schemas.openxmlformats.org/officeDocument/2006/relationships/hyperlink" Target="https://meteor.aihw.gov.au/RegistrationAuthority/12" TargetMode="External" Id="Rea1aaf555e9d405b" /><Relationship Type="http://schemas.openxmlformats.org/officeDocument/2006/relationships/hyperlink" Target="https://meteor.aihw.gov.au/content/697166" TargetMode="External" Id="Re19ed6cf48614234" /><Relationship Type="http://schemas.openxmlformats.org/officeDocument/2006/relationships/hyperlink" Target="https://meteor.aihw.gov.au/content/697168" TargetMode="External" Id="R4d13e6b3f0164bc2" /><Relationship Type="http://schemas.openxmlformats.org/officeDocument/2006/relationships/hyperlink" Target="https://meteor.aihw.gov.au/RegistrationAuthority/18" TargetMode="External" Id="Rcc5cf1c82a354b7a" /><Relationship Type="http://schemas.openxmlformats.org/officeDocument/2006/relationships/hyperlink" Target="https://meteor.aihw.gov.au/RegistrationAuthority/12" TargetMode="External" Id="R8cbe6a05f3ee4e4a" /><Relationship Type="http://schemas.openxmlformats.org/officeDocument/2006/relationships/numbering" Target="/word/numbering.xml" Id="R1d898330098e4a74" /><Relationship Type="http://schemas.openxmlformats.org/officeDocument/2006/relationships/hyperlink" Target="https://meteor.aihw.gov.au/content/721278" TargetMode="External" Id="R5010443436614230" /><Relationship Type="http://schemas.openxmlformats.org/officeDocument/2006/relationships/hyperlink" Target="https://meteor.aihw.gov.au/RegistrationAuthority/12" TargetMode="External" Id="R8e0f1c99622149ba" /></Relationships>
</file>

<file path=word/_rels/header1.xml.rels>&#65279;<?xml version="1.0" encoding="utf-8"?><Relationships xmlns="http://schemas.openxmlformats.org/package/2006/relationships"><Relationship Type="http://schemas.openxmlformats.org/officeDocument/2006/relationships/image" Target="/media/image.png" Id="Rc027ee814b84446f" /></Relationships>
</file>