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8a98ae38ec47d1"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1-Proportion of patients scheduled for a colonoscopy whose bowel preparation was adequate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1-Proportion of patients scheduled for a colonoscopy whose bowel preparation was adequate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1-Proportion of patients scheduled for a colonoscopy whose bowel preparation was 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424ec87f64884">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hyperlink w:history="true" r:id="R410870841fe64eee">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e3ace03b6e764e8c">
              <w:r>
                <w:rPr>
                  <w:rStyle w:val="Hyperlink"/>
                  <w:b/>
                </w:rPr>
                <w:t xml:space="preserve">colonoscopy</w:t>
              </w:r>
            </w:hyperlink>
            <w:r>
              <w:rPr>
                <w:rStyle w:val="row-content-rich-text"/>
              </w:rPr>
              <w:t xml:space="preserve"> with an adequately prepared 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f4aaabad444cc4">
              <w:r>
                <w:rPr>
                  <w:rStyle w:val="Hyperlink"/>
                </w:rPr>
                <w:t xml:space="preserve">Clinical care standard indicators: colonoscopy</w:t>
              </w:r>
            </w:hyperlink>
          </w:p>
          <w:p>
            <w:pPr>
              <w:spacing w:before="0" w:after="0"/>
            </w:pPr>
            <w:r>
              <w:rPr>
                <w:rStyle w:val="row-content"/>
                <w:color w:val="244061"/>
              </w:rPr>
              <w:t xml:space="preserve">       </w:t>
            </w:r>
            <w:hyperlink w:history="true" r:id="R3d334d3e949e4588">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398f82d227014216">
              <w:r>
                <w:rPr>
                  <w:rStyle w:val="Hyperlink"/>
                  <w:color w:val="244061"/>
                </w:rPr>
                <w:t xml:space="preserve">Health</w:t>
              </w:r>
            </w:hyperlink>
            <w:r>
              <w:rPr>
                <w:rStyle w:val="row-content"/>
                <w:color w:val="244061"/>
              </w:rPr>
              <w:t xml:space="preserve">, Standard 26/03/2019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quality of the bowel preparation is based on the colonoscopist's ability to visualise the mucosa after retained stool and fluid have been suctioned away. Bowel preparation should be assessed using a validated assessment tool (see 'Comments' section for examples) or other standardised process. Colonoscopists should document the quality of the bowel preparation for each colonoscopy.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 for whom the procedure note documents that bowel preparation was 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validated tools that can be used to assess bowel preparation include:</w:t>
            </w:r>
          </w:p>
          <w:p>
            <w:pPr>
              <w:pStyle w:val="ListParagraph"/>
              <w:numPr>
                <w:ilvl w:val="0"/>
                <w:numId w:val="2"/>
              </w:numPr>
            </w:pPr>
            <w:r>
              <w:rPr>
                <w:rStyle w:val="row-content-rich-text"/>
              </w:rPr>
              <w:t xml:space="preserve">Boston Bowel Preparation Scale (Calderwood &amp; Jacobson 2010)</w:t>
            </w:r>
          </w:p>
          <w:p>
            <w:pPr>
              <w:pStyle w:val="ListParagraph"/>
              <w:numPr>
                <w:ilvl w:val="0"/>
                <w:numId w:val="2"/>
              </w:numPr>
            </w:pPr>
            <w:r>
              <w:rPr>
                <w:rStyle w:val="row-content-rich-text"/>
              </w:rPr>
              <w:t xml:space="preserve">Ottawa Bowel Preparation Scale (Rostom &amp; Jolicoeur 2004)</w:t>
            </w:r>
          </w:p>
          <w:p>
            <w:pPr>
              <w:pStyle w:val="ListParagraph"/>
              <w:numPr>
                <w:ilvl w:val="0"/>
                <w:numId w:val="2"/>
              </w:numPr>
            </w:pPr>
            <w:r>
              <w:rPr>
                <w:rStyle w:val="row-content-rich-text"/>
              </w:rPr>
              <w:t xml:space="preserve">Aronchick Scale (Aronchick et al.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Aronchick C, Lipshutz W, Wright S, DuFrayne F &amp; Bergman G 2000. A novel tableted purgative for colonoscopic preparation: efficacy and safety comparisons with Colyte and Fleet phophosoda. Gastrointestinal Endoscopy 52:346–352.</w:t>
            </w:r>
          </w:p>
          <w:p>
            <w:pPr>
              <w:spacing w:after="160"/>
            </w:pPr>
            <w:r>
              <w:rPr>
                <w:rStyle w:val="row-content-rich-text"/>
              </w:rPr>
              <w:t xml:space="preserve">Calderwood AH &amp; Jacobson BC 2010. Comprehensive validation of the Boston Bowel Preparation Scale. Gastrointestinal Endoscopy 72: 686-92.</w:t>
            </w:r>
          </w:p>
          <w:p>
            <w:pPr/>
            <w:r>
              <w:rPr>
                <w:rStyle w:val="row-content-rich-text"/>
              </w:rPr>
              <w:t xml:space="preserve">Rostom A &amp; Jolicoeur E 2004. Validation of a new scale for the assessment of bowel preparation quality. Gastrointestinal Endoscopy 59:482-6.</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82bdaf6d834783">
              <w:r>
                <w:rPr>
                  <w:rStyle w:val="Hyperlink"/>
                </w:rPr>
                <w:t xml:space="preserve">Colonoscopy clinical care standard indicators: 1-Proportion of patients scheduled for a colonoscopy whose bowel preparation was adequate </w:t>
              </w:r>
            </w:hyperlink>
          </w:p>
          <w:p>
            <w:pPr>
              <w:spacing w:before="0" w:after="0"/>
            </w:pPr>
            <w:r>
              <w:rPr>
                <w:rStyle w:val="row-content"/>
                <w:color w:val="244061"/>
              </w:rPr>
              <w:t xml:space="preserve">       </w:t>
            </w:r>
            <w:hyperlink w:history="true" r:id="Rd09bcb4140b84bb6">
              <w:r>
                <w:rPr>
                  <w:rStyle w:val="Hyperlink"/>
                  <w:color w:val="244061"/>
                </w:rPr>
                <w:t xml:space="preserve">Health</w:t>
              </w:r>
            </w:hyperlink>
            <w:r>
              <w:rPr>
                <w:rStyle w:val="row-content"/>
                <w:color w:val="244061"/>
              </w:rPr>
              <w:t xml:space="preserve">, Qualified 19/09/2019</w:t>
            </w:r>
          </w:p>
          <w:p>
            <w:r>
              <w:br/>
            </w:r>
          </w:p>
        </w:tc>
      </w:tr>
    </w:tbl>
    <w:p>
      <w:r>
        <w:br/>
      </w:r>
    </w:p>
    <w:sectPr>
      <w:footerReference xmlns:r="http://schemas.openxmlformats.org/officeDocument/2006/relationships" w:type="default" r:id="R5ad32663aa01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691696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97b6a5843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32663aa014605" /><Relationship Type="http://schemas.openxmlformats.org/officeDocument/2006/relationships/header" Target="/word/header1.xml" Id="R0a8a4714c4e34803" /><Relationship Type="http://schemas.openxmlformats.org/officeDocument/2006/relationships/settings" Target="/word/settings.xml" Id="R9addd0b915494e09" /><Relationship Type="http://schemas.openxmlformats.org/officeDocument/2006/relationships/styles" Target="/word/styles.xml" Id="R6bd4e01e76a443d3" /><Relationship Type="http://schemas.openxmlformats.org/officeDocument/2006/relationships/hyperlink" Target="https://meteor.aihw.gov.au/RegistrationAuthority/18" TargetMode="External" Id="R955424ec87f64884" /><Relationship Type="http://schemas.openxmlformats.org/officeDocument/2006/relationships/hyperlink" Target="https://meteor.aihw.gov.au/RegistrationAuthority/12" TargetMode="External" Id="R410870841fe64eee" /><Relationship Type="http://schemas.openxmlformats.org/officeDocument/2006/relationships/hyperlink" Target="https://meteor.aihw.gov.au/content/697166" TargetMode="External" Id="Re3ace03b6e764e8c" /><Relationship Type="http://schemas.openxmlformats.org/officeDocument/2006/relationships/hyperlink" Target="https://meteor.aihw.gov.au/content/697168" TargetMode="External" Id="Rf8f4aaabad444cc4" /><Relationship Type="http://schemas.openxmlformats.org/officeDocument/2006/relationships/hyperlink" Target="https://meteor.aihw.gov.au/RegistrationAuthority/18" TargetMode="External" Id="R3d334d3e949e4588" /><Relationship Type="http://schemas.openxmlformats.org/officeDocument/2006/relationships/hyperlink" Target="https://meteor.aihw.gov.au/RegistrationAuthority/12" TargetMode="External" Id="R398f82d227014216" /><Relationship Type="http://schemas.openxmlformats.org/officeDocument/2006/relationships/numbering" Target="/word/numbering.xml" Id="R09be7a78d237467e" /><Relationship Type="http://schemas.openxmlformats.org/officeDocument/2006/relationships/hyperlink" Target="https://meteor.aihw.gov.au/content/721276" TargetMode="External" Id="R2b82bdaf6d834783" /><Relationship Type="http://schemas.openxmlformats.org/officeDocument/2006/relationships/hyperlink" Target="https://meteor.aihw.gov.au/RegistrationAuthority/12" TargetMode="External" Id="Rd09bcb4140b84bb6" /></Relationships>
</file>

<file path=word/_rels/header1.xml.rels>&#65279;<?xml version="1.0" encoding="utf-8"?><Relationships xmlns="http://schemas.openxmlformats.org/package/2006/relationships"><Relationship Type="http://schemas.openxmlformats.org/officeDocument/2006/relationships/image" Target="/media/image.png" Id="Rf7297b6a58434cbd" /></Relationships>
</file>