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4709846c2074097" /></Relationships>
</file>

<file path=word/document.xml><?xml version="1.0" encoding="utf-8"?>
<w:document xmlns:r="http://schemas.openxmlformats.org/officeDocument/2006/relationships" xmlns:w="http://schemas.openxmlformats.org/wordprocessingml/2006/main">
  <w:body>
    <w:p>
      <w:pPr>
        <w:pStyle w:val="Title"/>
      </w:pPr>
      <w:r>
        <w:t>Care and protection order (CPO) file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 and protection order (CPO) file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688438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f0afcdb91854c43">
              <w:r>
                <w:rPr>
                  <w:rStyle w:val="Hyperlink"/>
                  <w:color w:val="244061"/>
                </w:rPr>
                <w:t xml:space="preserve">Children and Families</w:t>
              </w:r>
            </w:hyperlink>
            <w:r>
              <w:rPr>
                <w:rStyle w:val="row-content"/>
                <w:color w:val="244061"/>
              </w:rPr>
              <w:t xml:space="preserve">, Superseded 20/01/2021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Care and protection order file cluster contains information about care and protection orders issued to the clients in the Child protection (CP) client data set specification. This includes care and protection orders that were issued and/or applicable, including those that ended, during the reference period. Children should be counted in the state or territory where the order is operative, regardless of where the child is residing.</w:t>
            </w:r>
          </w:p>
          <w:p>
            <w:pPr>
              <w:spacing w:after="160"/>
            </w:pPr>
            <w:r>
              <w:rPr>
                <w:rStyle w:val="row-content-rich-text"/>
              </w:rPr>
              <w:t xml:space="preserve">Children aged less than 18 years on the following care and protection orders/arrangements (or children discharged from those care and protection orders/arrangements on their 18</w:t>
            </w:r>
            <w:r>
              <w:rPr>
                <w:rStyle w:val="row-content-rich-text"/>
                <w:vertAlign w:val="superscript"/>
              </w:rPr>
              <w:t xml:space="preserve">th</w:t>
            </w:r>
            <w:r>
              <w:rPr>
                <w:rStyle w:val="row-content-rich-text"/>
              </w:rPr>
              <w:t xml:space="preserve"> birthday) are included in the scope of the collection:</w:t>
            </w:r>
          </w:p>
          <w:p>
            <w:pPr>
              <w:pStyle w:val="ListParagraph"/>
              <w:numPr>
                <w:ilvl w:val="0"/>
                <w:numId w:val="2"/>
              </w:numPr>
            </w:pPr>
            <w:r>
              <w:rPr>
                <w:rStyle w:val="row-content-rich-text"/>
              </w:rPr>
              <w:t xml:space="preserve">Finalised guardianship or custody orders</w:t>
            </w:r>
          </w:p>
          <w:p>
            <w:pPr>
              <w:pStyle w:val="ListParagraph"/>
              <w:numPr>
                <w:ilvl w:val="0"/>
                <w:numId w:val="2"/>
              </w:numPr>
            </w:pPr>
            <w:r>
              <w:rPr>
                <w:rStyle w:val="row-content-rich-text"/>
              </w:rPr>
              <w:t xml:space="preserve">Finalised third party parental responsibility</w:t>
            </w:r>
          </w:p>
          <w:p>
            <w:pPr>
              <w:pStyle w:val="ListParagraph"/>
              <w:numPr>
                <w:ilvl w:val="0"/>
                <w:numId w:val="2"/>
              </w:numPr>
            </w:pPr>
            <w:r>
              <w:rPr>
                <w:rStyle w:val="row-content-rich-text"/>
              </w:rPr>
              <w:t xml:space="preserve">Finalised supervisory orders</w:t>
            </w:r>
          </w:p>
          <w:p>
            <w:pPr>
              <w:pStyle w:val="ListParagraph"/>
              <w:numPr>
                <w:ilvl w:val="0"/>
                <w:numId w:val="2"/>
              </w:numPr>
            </w:pPr>
            <w:r>
              <w:rPr>
                <w:rStyle w:val="row-content-rich-text"/>
              </w:rPr>
              <w:t xml:space="preserve">Interim and temporary orders</w:t>
            </w:r>
          </w:p>
          <w:p>
            <w:pPr>
              <w:pStyle w:val="ListParagraph"/>
              <w:numPr>
                <w:ilvl w:val="0"/>
                <w:numId w:val="2"/>
              </w:numPr>
            </w:pPr>
            <w:r>
              <w:rPr>
                <w:rStyle w:val="row-content-rich-text"/>
              </w:rPr>
              <w:t xml:space="preserve">Administrative arrangements</w:t>
            </w:r>
          </w:p>
          <w:p>
            <w:pPr>
              <w:pStyle w:val="ListParagraph"/>
              <w:numPr>
                <w:ilvl w:val="0"/>
                <w:numId w:val="2"/>
              </w:numPr>
            </w:pPr>
            <w:r>
              <w:rPr>
                <w:rStyle w:val="row-content-rich-text"/>
              </w:rPr>
              <w:t xml:space="preserve">Assessment orders.</w:t>
            </w:r>
          </w:p>
          <w:p>
            <w:pPr/>
            <w:r>
              <w:rPr>
                <w:rStyle w:val="row-content-rich-text"/>
              </w:rPr>
              <w:t xml:space="preserve">Also included are appropriate authorities for the placement of children in out-of-home care that are outside the scope of care and protection orders (as defined above). These may include administrative authority for placement of young offenders, arrangements that cover the placement of unaccompanied humanitarian minors (orders made under the Immigration (Guardianship of Children) Act 1946), interstate orders or administrative and voluntary arrangements with the Department responsible for child protection which do not have the effect of transferring custody or guardianship. To help track the paths of children adopted from care, information on finalised known carer adoption orders and finalised local adoption orders are also included in the file.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For this file a person is a child or young person aged less than 18 years. This includes unborn children in jurisdictions where they are covered under the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Each new order a child is placed on will be a new line in the file, delineated by a start and end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end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30/06/2017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Data are extracted as at 31 August. The 2016–17 reporting period is the main collection period. Data for 2015–16 are also collected to allow specific calculations to be undertaken.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edf27ade8e5541fa">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2017. Child protection national minimum data set, data collection manual 2016–17.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9c6d7deac184d15">
              <w:r>
                <w:rPr>
                  <w:rStyle w:val="Hyperlink"/>
                </w:rPr>
                <w:t xml:space="preserve">Care and protection order (CPO) file cluster</w:t>
              </w:r>
            </w:hyperlink>
          </w:p>
          <w:p>
            <w:pPr>
              <w:spacing w:before="0" w:after="0"/>
            </w:pPr>
            <w:r>
              <w:rPr>
                <w:rStyle w:val="row-content"/>
                <w:color w:val="244061"/>
              </w:rPr>
              <w:t xml:space="preserve">       </w:t>
            </w:r>
            <w:hyperlink w:history="true" r:id="Rf5c72a9d18884ea0">
              <w:r>
                <w:rPr>
                  <w:rStyle w:val="Hyperlink"/>
                  <w:color w:val="244061"/>
                </w:rPr>
                <w:t xml:space="preserve">Children and Families</w:t>
              </w:r>
            </w:hyperlink>
            <w:r>
              <w:rPr>
                <w:rStyle w:val="row-content"/>
                <w:color w:val="244061"/>
              </w:rPr>
              <w:t xml:space="preserve">, Superseded 20/04/2018</w:t>
            </w:r>
          </w:p>
          <w:p>
            <w:r>
              <w:br/>
            </w:r>
            <w:r>
              <w:rPr>
                <w:rStyle w:val="row-content"/>
              </w:rPr>
              <w:t xml:space="preserve">Has been superseded by </w:t>
            </w:r>
            <w:hyperlink w:history="true" r:id="R20e21ae14f604f10">
              <w:r>
                <w:rPr>
                  <w:rStyle w:val="Hyperlink"/>
                </w:rPr>
                <w:t xml:space="preserve">Care and protection order (CPO) file cluster</w:t>
              </w:r>
            </w:hyperlink>
          </w:p>
          <w:p>
            <w:pPr>
              <w:spacing w:before="0" w:after="0"/>
            </w:pPr>
            <w:r>
              <w:rPr>
                <w:rStyle w:val="row-content"/>
                <w:color w:val="244061"/>
              </w:rPr>
              <w:t xml:space="preserve">       </w:t>
            </w:r>
            <w:hyperlink w:history="true" r:id="R2ad2cdc88e6c42fc">
              <w:r>
                <w:rPr>
                  <w:rStyle w:val="Hyperlink"/>
                  <w:color w:val="244061"/>
                </w:rPr>
                <w:t xml:space="preserve">Children and Families</w:t>
              </w:r>
            </w:hyperlink>
            <w:r>
              <w:rPr>
                <w:rStyle w:val="row-content"/>
                <w:color w:val="244061"/>
              </w:rPr>
              <w:t xml:space="preserve">, Superseded 11/05/2023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197503c4dd840e1">
              <w:r>
                <w:rPr>
                  <w:rStyle w:val="Hyperlink"/>
                </w:rPr>
                <w:t xml:space="preserve">Child protection NMDS 2016-17</w:t>
              </w:r>
            </w:hyperlink>
          </w:p>
          <w:p>
            <w:pPr>
              <w:spacing w:before="0" w:after="0"/>
            </w:pPr>
            <w:r>
              <w:rPr>
                <w:rStyle w:val="row-content"/>
                <w:color w:val="244061"/>
              </w:rPr>
              <w:t xml:space="preserve">       </w:t>
            </w:r>
            <w:hyperlink w:history="true" r:id="R5f2be98217af4813">
              <w:r>
                <w:rPr>
                  <w:rStyle w:val="Hyperlink"/>
                  <w:color w:val="244061"/>
                </w:rPr>
                <w:t xml:space="preserve">Children and Families</w:t>
              </w:r>
            </w:hyperlink>
            <w:r>
              <w:rPr>
                <w:rStyle w:val="row-content"/>
                <w:color w:val="244061"/>
              </w:rPr>
              <w:t xml:space="preserve">, Superseded 21/01/2021</w:t>
            </w:r>
          </w:p>
          <w:p>
            <w:r>
              <w:rPr>
                <w:rStyle w:val="row-content"/>
                <w:b/>
                <w:i/>
              </w:rPr>
              <w:t xml:space="preserve">Implementation start date: </w:t>
            </w:r>
            <w:r>
              <w:rPr>
                <w:rStyle w:val="row-content"/>
              </w:rPr>
              <w:t xml:space="preserve">01/07/2015</w:t>
            </w:r>
            <w:r>
              <w:br/>
            </w:r>
          </w:p>
          <w:p>
            <w:r>
              <w:rPr>
                <w:rStyle w:val="row-content"/>
                <w:b/>
                <w:i/>
              </w:rPr>
              <w:t xml:space="preserve">Implementation end date: </w:t>
            </w:r>
            <w:r>
              <w:rPr>
                <w:rStyle w:val="row-content"/>
              </w:rPr>
              <w:t xml:space="preserve">30/06/2017</w:t>
            </w:r>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701433551dc945f3">
                    <w:r>
                      <w:rPr>
                        <w:rStyle w:val="Hyperlink"/>
                      </w:rPr>
                      <w:t xml:space="preserve">Person—person identifier, child protection NX[X(11)]</w:t>
                    </w:r>
                  </w:hyperlink>
                </w:p>
                <w:p>
                  <w:r>
                    <w:rPr>
                      <w:b/>
                      <w:i/>
                      <w:color w:val="333333"/>
                    </w:rPr>
                    <w:t xml:space="preserve">DSS specific information:</w:t>
                  </w:r>
                </w:p>
                <w:p>
                  <w:r>
                    <w:t xml:space="preserve">The person identifier (ID) is the identifier for the child (the child protection client) within a State or Territory. The person ID in the Care and protection order file must appear in the Child Protection client file.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1e612c8d4a9f4c19">
                    <w:r>
                      <w:rPr>
                        <w:rStyle w:val="Hyperlink"/>
                      </w:rPr>
                      <w:t xml:space="preserve">Order—order start date, DDMMYYYY</w:t>
                    </w:r>
                  </w:hyperlink>
                </w:p>
                <w:p>
                  <w:r>
                    <w:rPr>
                      <w:b/>
                      <w:i/>
                      <w:color w:val="333333"/>
                    </w:rPr>
                    <w:t xml:space="preserve">DSS specific information:</w:t>
                  </w:r>
                </w:p>
                <w:p>
                  <w:r>
                    <w:t xml:space="preserve">'Order start date' is the date the Care and protection order came into effect and must be equal to or preceding 'Order end date'. Valid date occurs on or before the 31 August reference period.</w:t>
                  </w:r>
                </w:p>
                <w:p>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24bb0cb1bf674eef">
                    <w:r>
                      <w:rPr>
                        <w:rStyle w:val="Hyperlink"/>
                      </w:rPr>
                      <w:t xml:space="preserve">Order—order type, care and protection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1d4796a180754ef1">
                    <w:r>
                      <w:rPr>
                        <w:rStyle w:val="Hyperlink"/>
                      </w:rPr>
                      <w:t xml:space="preserve">Child—first care and protection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7f81245d5faf4d2d">
                    <w:r>
                      <w:rPr>
                        <w:rStyle w:val="Hyperlink"/>
                      </w:rPr>
                      <w:t xml:space="preserve">Order—National Out-of-Home Care standards (NOOHCS) order indicator, yes/no/not applicable/not stated/inadequately described code N</w:t>
                    </w:r>
                  </w:hyperlink>
                </w:p>
                <w:p>
                  <w:r>
                    <w:rPr>
                      <w:b/>
                      <w:i/>
                      <w:color w:val="333333"/>
                    </w:rPr>
                    <w:t xml:space="preserve">DSS specific information:</w:t>
                  </w:r>
                </w:p>
                <w:p>
                  <w:r>
                    <w:t xml:space="preserve">Code 9 'Not stated/inadequately described' in the data element is equivalent to code 99 in the Child protection national minimum data set collection manual.</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dc20c6425a6435b">
                    <w:r>
                      <w:rPr>
                        <w:rStyle w:val="Hyperlink"/>
                      </w:rPr>
                      <w:t xml:space="preserve">Order—order end date, DDMMYYYY</w:t>
                    </w:r>
                  </w:hyperlink>
                </w:p>
                <w:p>
                  <w:r>
                    <w:rPr>
                      <w:b/>
                      <w:i/>
                      <w:color w:val="333333"/>
                    </w:rPr>
                    <w:t xml:space="preserve">DSS specific information:</w:t>
                  </w:r>
                </w:p>
                <w:p>
                  <w:r>
                    <w:t xml:space="preserve">'Order end date' is the date the care and protection order is no longer applicable and must be equal to or later than 'Order start date'. Valid date, if applicable, occurs between 1 July of the first reporting period and 31 August following the last reporting period.</w:t>
                  </w:r>
                  <w:r>
                    <w:br/>
                  </w:r>
                  <w:r>
                    <w:t xml:space="preserve"> </w:t>
                  </w:r>
                  <w:r>
                    <w:br/>
                  </w:r>
                  <w:r>
                    <w:t xml:space="preserve">When an estimate is required, all known fields should be entered (e.g. if year and month are known use 01MMYYY; if the exact date is unknown but the reporting period to which it relates can be determined, use 0107YYYY). If the date is not known and can't be estimated, please record 01011900.</w:t>
                  </w:r>
                </w:p>
                <w:p>
                  <w:r>
                    <w:t xml:space="preserve">If it is not applicable to record a date (i.e. the order had not ended by the end of the reference period) please record 01019999 for this item.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02aa77ffa7ab457e">
                    <w:r>
                      <w:rPr>
                        <w:rStyle w:val="Hyperlink"/>
                      </w:rPr>
                      <w:t xml:space="preserve">Service episode—episode start date, DDMMYYYY</w:t>
                    </w:r>
                  </w:hyperlink>
                </w:p>
                <w:p>
                  <w:r>
                    <w:rPr>
                      <w:b/>
                      <w:i/>
                      <w:color w:val="333333"/>
                    </w:rPr>
                    <w:t xml:space="preserve">DSS specific information:</w:t>
                  </w:r>
                </w:p>
                <w:p>
                  <w:r>
                    <w:t xml:space="preserve">Where the care and protection order was part of a preceding continuous order episode, this item records the start date of the first order in the episode.</w:t>
                  </w:r>
                </w:p>
                <w:p>
                  <w:r>
                    <w:t xml:space="preserve">An order episode is the period of time in which a child remains on an order. During this period, a child may be on one or more different orders. If a child is discharged from an order and a new care and protection order/arrangement is applied in five (5) days or less of the discharge, the orders are deemed to be consecutive (i.e. the continuous episode of care will include both order). However, a break of more the five (5) days will break the continuity of care.</w:t>
                  </w:r>
                </w:p>
                <w:p>
                  <w:r>
                    <w:t xml:space="preserve">Valid date, if applicable, occurs on or before 31 August following the reference period. Date must precede 'Order start date'.</w:t>
                  </w:r>
                </w:p>
                <w:p>
                  <w:r>
                    <w:t xml:space="preserve">When an estimate is required, all known fields should be entered (e.g. if year and month are known use 01MMYYYY; if the exact date is unknown but the reporting period to which it relates can be determined, use 0107YYYY).</w:t>
                  </w:r>
                </w:p>
                <w:p>
                  <w:r>
                    <w:t xml:space="preserve">If the date is not known and can’t be estimated, record 01011900.</w:t>
                  </w:r>
                </w:p>
                <w:p>
                  <w:r>
                    <w:t xml:space="preserve">If it is not applicable to record a date (i.e. the order was not part of a preceding continuous order episode or if code ‘7’ ‘Other’ was recorded for ‘Order type – national’), please record 01019999.</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17fa632486414c2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688438</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4244d1061542d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7fa632486414c22" /><Relationship Type="http://schemas.openxmlformats.org/officeDocument/2006/relationships/header" Target="/word/header1.xml" Id="Rc701225216df4921" /><Relationship Type="http://schemas.openxmlformats.org/officeDocument/2006/relationships/settings" Target="/word/settings.xml" Id="Rc653041bb1114104" /><Relationship Type="http://schemas.openxmlformats.org/officeDocument/2006/relationships/styles" Target="/word/styles.xml" Id="Rae598edfc47b423e" /><Relationship Type="http://schemas.openxmlformats.org/officeDocument/2006/relationships/hyperlink" Target="https://meteor.aihw.gov.au/RegistrationAuthority/17" TargetMode="External" Id="R8f0afcdb91854c43" /><Relationship Type="http://schemas.openxmlformats.org/officeDocument/2006/relationships/numbering" Target="/word/numbering.xml" Id="R5d3740e15ed7460d" /><Relationship Type="http://schemas.openxmlformats.org/officeDocument/2006/relationships/hyperlink" Target="https://meteor.aihw.gov.au/content/246013" TargetMode="External" Id="Redf27ade8e5541fa" /><Relationship Type="http://schemas.openxmlformats.org/officeDocument/2006/relationships/hyperlink" Target="https://meteor.aihw.gov.au/content/656500" TargetMode="External" Id="R39c6d7deac184d15" /><Relationship Type="http://schemas.openxmlformats.org/officeDocument/2006/relationships/hyperlink" Target="https://meteor.aihw.gov.au/RegistrationAuthority/17" TargetMode="External" Id="Rf5c72a9d18884ea0" /><Relationship Type="http://schemas.openxmlformats.org/officeDocument/2006/relationships/hyperlink" Target="https://meteor.aihw.gov.au/content/706953" TargetMode="External" Id="R20e21ae14f604f10" /><Relationship Type="http://schemas.openxmlformats.org/officeDocument/2006/relationships/hyperlink" Target="https://meteor.aihw.gov.au/RegistrationAuthority/17" TargetMode="External" Id="R2ad2cdc88e6c42fc" /><Relationship Type="http://schemas.openxmlformats.org/officeDocument/2006/relationships/hyperlink" Target="https://meteor.aihw.gov.au/content/688290" TargetMode="External" Id="R7197503c4dd840e1" /><Relationship Type="http://schemas.openxmlformats.org/officeDocument/2006/relationships/hyperlink" Target="https://meteor.aihw.gov.au/RegistrationAuthority/17" TargetMode="External" Id="R5f2be98217af4813" /><Relationship Type="http://schemas.openxmlformats.org/officeDocument/2006/relationships/hyperlink" Target="https://meteor.aihw.gov.au/content/459397" TargetMode="External" Id="R701433551dc945f3" /><Relationship Type="http://schemas.openxmlformats.org/officeDocument/2006/relationships/hyperlink" Target="https://meteor.aihw.gov.au/content/536550" TargetMode="External" Id="R1e612c8d4a9f4c19" /><Relationship Type="http://schemas.openxmlformats.org/officeDocument/2006/relationships/hyperlink" Target="https://meteor.aihw.gov.au/content/657300" TargetMode="External" Id="R24bb0cb1bf674eef" /><Relationship Type="http://schemas.openxmlformats.org/officeDocument/2006/relationships/hyperlink" Target="https://meteor.aihw.gov.au/content/655240" TargetMode="External" Id="R1d4796a180754ef1" /><Relationship Type="http://schemas.openxmlformats.org/officeDocument/2006/relationships/hyperlink" Target="https://meteor.aihw.gov.au/content/655244" TargetMode="External" Id="R7f81245d5faf4d2d" /><Relationship Type="http://schemas.openxmlformats.org/officeDocument/2006/relationships/hyperlink" Target="https://meteor.aihw.gov.au/content/536554" TargetMode="External" Id="R9dc20c6425a6435b" /><Relationship Type="http://schemas.openxmlformats.org/officeDocument/2006/relationships/hyperlink" Target="https://meteor.aihw.gov.au/content/651687" TargetMode="External" Id="R02aa77ffa7ab457e" /></Relationships>
</file>

<file path=word/_rels/header1.xml.rels>&#65279;<?xml version="1.0" encoding="utf-8"?><Relationships xmlns="http://schemas.openxmlformats.org/package/2006/relationships"><Relationship Type="http://schemas.openxmlformats.org/officeDocument/2006/relationships/image" Target="/media/image.png" Id="Rd94244d1061542d6" /></Relationships>
</file>