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16a697a397f4b28"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PI19b-Proportion of regular clients with a selected chronic disease who have had a kidney function test with results within specified levels, 2018-2019</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PI19b-Proportion of regular clients with a selected chronic disease who have had a kidney function test with results within specified levels, 2018-2019</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PI19b-Proportion of regular clients with a selected chronic disease who have had a kidney function test with results within specified levels, 2018-2019</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688002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190f34ed7cde4a99">
              <w:r>
                <w:rPr>
                  <w:rStyle w:val="Hyperlink"/>
                  <w:color w:val="244061"/>
                </w:rPr>
                <w:t xml:space="preserve">Health</w:t>
              </w:r>
            </w:hyperlink>
            <w:r>
              <w:rPr>
                <w:rStyle w:val="row-content"/>
                <w:color w:val="244061"/>
              </w:rPr>
              <w:t xml:space="preserve">, Superseded 16/01/2020</w:t>
            </w:r>
          </w:p>
          <w:p>
            <w:pPr>
              <w:spacing w:before="0" w:after="0"/>
            </w:pPr>
            <w:hyperlink w:history="true" r:id="R8b6ff00118de4de6">
              <w:r>
                <w:rPr>
                  <w:rStyle w:val="Hyperlink"/>
                  <w:color w:val="244061"/>
                </w:rPr>
                <w:t xml:space="preserve">Indigenous</w:t>
              </w:r>
            </w:hyperlink>
            <w:r>
              <w:rPr>
                <w:rStyle w:val="row-content"/>
                <w:color w:val="244061"/>
              </w:rPr>
              <w:t xml:space="preserve">, Superseded 14/07/2021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15 and over, who are recorded as having Type II diabetes or cardiovascular disease (CVD) and who have had an estimated glomerular filtration rate (eGFR) recorded within the previous 12 months with a result of (ml/min/1.73m²):</w:t>
            </w:r>
          </w:p>
          <w:p>
            <w:pPr>
              <w:pStyle w:val="ListParagraph"/>
              <w:numPr>
                <w:ilvl w:val="0"/>
                <w:numId w:val="2"/>
              </w:numPr>
            </w:pPr>
            <w:r>
              <w:rPr>
                <w:rStyle w:val="row-content-rich-text"/>
              </w:rPr>
              <w:t xml:space="preserve">greater than or equal to 90;</w:t>
            </w:r>
          </w:p>
          <w:p>
            <w:pPr>
              <w:pStyle w:val="ListParagraph"/>
              <w:numPr>
                <w:ilvl w:val="0"/>
                <w:numId w:val="2"/>
              </w:numPr>
            </w:pPr>
            <w:r>
              <w:rPr>
                <w:rStyle w:val="row-content-rich-text"/>
              </w:rPr>
              <w:t xml:space="preserve">greater than or equal to 60 but less than 90;</w:t>
            </w:r>
          </w:p>
          <w:p>
            <w:pPr>
              <w:pStyle w:val="ListParagraph"/>
              <w:numPr>
                <w:ilvl w:val="0"/>
                <w:numId w:val="2"/>
              </w:numPr>
            </w:pPr>
            <w:r>
              <w:rPr>
                <w:rStyle w:val="row-content-rich-text"/>
              </w:rPr>
              <w:t xml:space="preserve">greater than or equal to 45 but less than 60;</w:t>
            </w:r>
          </w:p>
          <w:p>
            <w:pPr>
              <w:pStyle w:val="ListParagraph"/>
              <w:numPr>
                <w:ilvl w:val="0"/>
                <w:numId w:val="2"/>
              </w:numPr>
            </w:pPr>
            <w:r>
              <w:rPr>
                <w:rStyle w:val="row-content-rich-text"/>
              </w:rPr>
              <w:t xml:space="preserve">greater than or equal to 30 but less than 45;</w:t>
            </w:r>
          </w:p>
          <w:p>
            <w:pPr>
              <w:pStyle w:val="ListParagraph"/>
              <w:numPr>
                <w:ilvl w:val="0"/>
                <w:numId w:val="2"/>
              </w:numPr>
            </w:pPr>
            <w:r>
              <w:rPr>
                <w:rStyle w:val="row-content-rich-text"/>
              </w:rPr>
              <w:t xml:space="preserve">greater than or equal to 15 but less than 30 or;</w:t>
            </w:r>
          </w:p>
          <w:p>
            <w:pPr>
              <w:pStyle w:val="ListParagraph"/>
              <w:numPr>
                <w:ilvl w:val="0"/>
                <w:numId w:val="2"/>
              </w:numPr>
            </w:pPr>
            <w:r>
              <w:rPr>
                <w:rStyle w:val="row-content-rich-text"/>
              </w:rPr>
              <w:t xml:space="preserve">less than 15</w:t>
            </w:r>
          </w:p>
          <w:p>
            <w:pPr>
              <w:spacing w:after="160"/>
            </w:pPr>
            <w:r>
              <w:rPr>
                <w:rStyle w:val="row-content-rich-text"/>
              </w:rPr>
              <w:t xml:space="preserve">OR the proportion of regular clients who are male, Indigenous, aged 15 and over, who are recorded as having Type II diabetes and who have had an albumin/creatinine ratio (ACR) recorded within the previous 12 months with a result of (mg/mmol):</w:t>
            </w:r>
          </w:p>
          <w:p>
            <w:pPr>
              <w:pStyle w:val="ListParagraph"/>
              <w:numPr>
                <w:ilvl w:val="0"/>
                <w:numId w:val="3"/>
              </w:numPr>
            </w:pPr>
            <w:r>
              <w:rPr>
                <w:rStyle w:val="row-content-rich-text"/>
              </w:rPr>
              <w:t xml:space="preserve">less than 2.5</w:t>
            </w:r>
          </w:p>
          <w:p>
            <w:pPr>
              <w:pStyle w:val="ListParagraph"/>
              <w:numPr>
                <w:ilvl w:val="0"/>
                <w:numId w:val="3"/>
              </w:numPr>
            </w:pPr>
            <w:r>
              <w:rPr>
                <w:rStyle w:val="row-content-rich-text"/>
              </w:rPr>
              <w:t xml:space="preserve">greater than or equal to 2.5 but less than or equal to 25</w:t>
            </w:r>
          </w:p>
          <w:p>
            <w:pPr>
              <w:pStyle w:val="ListParagraph"/>
              <w:numPr>
                <w:ilvl w:val="0"/>
                <w:numId w:val="3"/>
              </w:numPr>
            </w:pPr>
            <w:r>
              <w:rPr>
                <w:rStyle w:val="row-content-rich-text"/>
              </w:rPr>
              <w:t xml:space="preserve">greater than 25</w:t>
            </w:r>
          </w:p>
          <w:p>
            <w:pPr>
              <w:spacing w:after="160"/>
            </w:pPr>
            <w:r>
              <w:rPr>
                <w:rStyle w:val="row-content-rich-text"/>
              </w:rPr>
              <w:t xml:space="preserve">OR the proportion of regular clients who are female, Indigenous, aged 15 and over, who are recorded as having Type II diabetes and who have had an albumin/creatinine ratio (ACR) recorded within the previous 12 months with a result of (mg/mmol):</w:t>
            </w:r>
          </w:p>
          <w:p>
            <w:pPr>
              <w:pStyle w:val="ListParagraph"/>
              <w:numPr>
                <w:ilvl w:val="0"/>
                <w:numId w:val="4"/>
              </w:numPr>
            </w:pPr>
            <w:r>
              <w:rPr>
                <w:rStyle w:val="row-content-rich-text"/>
              </w:rPr>
              <w:t xml:space="preserve">less than 3.5</w:t>
            </w:r>
          </w:p>
          <w:p>
            <w:pPr>
              <w:pStyle w:val="ListParagraph"/>
              <w:numPr>
                <w:ilvl w:val="0"/>
                <w:numId w:val="4"/>
              </w:numPr>
            </w:pPr>
            <w:r>
              <w:rPr>
                <w:rStyle w:val="row-content-rich-text"/>
              </w:rPr>
              <w:t xml:space="preserve">greater than or equal to 3.5 but less than or equal to 35</w:t>
            </w:r>
          </w:p>
          <w:p>
            <w:pPr>
              <w:pStyle w:val="ListParagraph"/>
              <w:numPr>
                <w:ilvl w:val="0"/>
                <w:numId w:val="4"/>
              </w:numPr>
            </w:pPr>
            <w:r>
              <w:rPr>
                <w:rStyle w:val="row-content-rich-text"/>
              </w:rPr>
              <w:t xml:space="preserve">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Indigenous Australians have very high levels of kidney disease due to a range of risk factors and antecedents. Kidney disease contributes substantially to the high burden of ill health experienced by Indigenous Australians. Tests of a person’s urine and blood can identify most cases of chronic kidney disease when the disease is in its early stages, enabling treatment to prevent or slow down the progression. Glomerular filtration and albumin/creatinine ratio rate are accepted as the best measures of kidney disease.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9a49b413a2974fe0">
              <w:r>
                <w:rPr>
                  <w:rStyle w:val="Hyperlink"/>
                </w:rPr>
                <w:t xml:space="preserve">Indigenous primary health care key performance indicators 2018-2019</w:t>
              </w:r>
            </w:hyperlink>
          </w:p>
          <w:p>
            <w:pPr>
              <w:pStyle w:val="registration-status"/>
              <w:spacing w:before="0" w:after="0"/>
            </w:pPr>
            <w:hyperlink w:history="true" r:id="Rff77b432b5b84f7b">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8eb1b35393bf406e">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15 and over, who are recorded as having Type II diabetes or CVD and who have had an eGFR recorded within the previous 12 months with a result of (ml/min/1.73m²):</w:t>
            </w:r>
          </w:p>
          <w:p>
            <w:pPr>
              <w:pStyle w:val="ListParagraph"/>
              <w:numPr>
                <w:ilvl w:val="0"/>
                <w:numId w:val="5"/>
              </w:numPr>
            </w:pPr>
            <w:r>
              <w:rPr>
                <w:rStyle w:val="row-content-rich-text"/>
              </w:rPr>
              <w:t xml:space="preserve">greater than or equal to 90;</w:t>
            </w:r>
          </w:p>
          <w:p>
            <w:pPr>
              <w:pStyle w:val="ListParagraph"/>
              <w:numPr>
                <w:ilvl w:val="0"/>
                <w:numId w:val="5"/>
              </w:numPr>
            </w:pPr>
            <w:r>
              <w:rPr>
                <w:rStyle w:val="row-content-rich-text"/>
              </w:rPr>
              <w:t xml:space="preserve">greater than or equal to 60 but less than 90;</w:t>
            </w:r>
          </w:p>
          <w:p>
            <w:pPr>
              <w:pStyle w:val="ListParagraph"/>
              <w:numPr>
                <w:ilvl w:val="0"/>
                <w:numId w:val="5"/>
              </w:numPr>
            </w:pPr>
            <w:r>
              <w:rPr>
                <w:rStyle w:val="row-content-rich-text"/>
              </w:rPr>
              <w:t xml:space="preserve">greater than or equal to 45 but less than 60;</w:t>
            </w:r>
          </w:p>
          <w:p>
            <w:pPr>
              <w:pStyle w:val="ListParagraph"/>
              <w:numPr>
                <w:ilvl w:val="0"/>
                <w:numId w:val="5"/>
              </w:numPr>
            </w:pPr>
            <w:r>
              <w:rPr>
                <w:rStyle w:val="row-content-rich-text"/>
              </w:rPr>
              <w:t xml:space="preserve">greater than or equal to 30 but less than 45;</w:t>
            </w:r>
          </w:p>
          <w:p>
            <w:pPr>
              <w:pStyle w:val="ListParagraph"/>
              <w:numPr>
                <w:ilvl w:val="0"/>
                <w:numId w:val="5"/>
              </w:numPr>
            </w:pPr>
            <w:r>
              <w:rPr>
                <w:rStyle w:val="row-content-rich-text"/>
              </w:rPr>
              <w:t xml:space="preserve">greater than or equal to 15 but less than 30 or;</w:t>
            </w:r>
          </w:p>
          <w:p>
            <w:pPr>
              <w:pStyle w:val="ListParagraph"/>
              <w:numPr>
                <w:ilvl w:val="0"/>
                <w:numId w:val="5"/>
              </w:numPr>
            </w:pPr>
            <w:r>
              <w:rPr>
                <w:rStyle w:val="row-content-rich-text"/>
              </w:rPr>
              <w:t xml:space="preserve">less than 15</w:t>
            </w:r>
          </w:p>
          <w:p>
            <w:pPr>
              <w:spacing w:after="160"/>
            </w:pPr>
            <w:r>
              <w:rPr>
                <w:rStyle w:val="row-content-rich-text"/>
              </w:rPr>
              <w:t xml:space="preserve">OR the proportion of regular clients who are male, Indigenous, aged 15 and over, who are recorded as having Type II diabetes and who have had an albumin/creatinine ratio (ACR) recorded within the previous 12 months with a result of (mg/mmol):</w:t>
            </w:r>
          </w:p>
          <w:p>
            <w:pPr>
              <w:pStyle w:val="ListParagraph"/>
              <w:numPr>
                <w:ilvl w:val="0"/>
                <w:numId w:val="6"/>
              </w:numPr>
            </w:pPr>
            <w:r>
              <w:rPr>
                <w:rStyle w:val="row-content-rich-text"/>
              </w:rPr>
              <w:t xml:space="preserve">less than 2.5</w:t>
            </w:r>
          </w:p>
          <w:p>
            <w:pPr>
              <w:pStyle w:val="ListParagraph"/>
              <w:numPr>
                <w:ilvl w:val="0"/>
                <w:numId w:val="6"/>
              </w:numPr>
            </w:pPr>
            <w:r>
              <w:rPr>
                <w:rStyle w:val="row-content-rich-text"/>
              </w:rPr>
              <w:t xml:space="preserve">greater than or equal to 2.5 but less than or equal to 25</w:t>
            </w:r>
          </w:p>
          <w:p>
            <w:pPr>
              <w:pStyle w:val="ListParagraph"/>
              <w:numPr>
                <w:ilvl w:val="0"/>
                <w:numId w:val="6"/>
              </w:numPr>
            </w:pPr>
            <w:r>
              <w:rPr>
                <w:rStyle w:val="row-content-rich-text"/>
              </w:rPr>
              <w:t xml:space="preserve">greater than 25</w:t>
            </w:r>
          </w:p>
          <w:p>
            <w:pPr>
              <w:spacing w:after="160"/>
            </w:pPr>
            <w:r>
              <w:rPr>
                <w:rStyle w:val="row-content-rich-text"/>
              </w:rPr>
              <w:t xml:space="preserve">OR the proportion of regular clients who are female, Indigenous, aged 15 and over, who are recorded as having Type II diabetes and who have had an albumin/creatinine ratio (ACR) recorded within the previous 12 months with a result of (mg/mmol):</w:t>
            </w:r>
          </w:p>
          <w:p>
            <w:pPr>
              <w:pStyle w:val="ListParagraph"/>
              <w:numPr>
                <w:ilvl w:val="0"/>
                <w:numId w:val="7"/>
              </w:numPr>
            </w:pPr>
            <w:r>
              <w:rPr>
                <w:rStyle w:val="row-content-rich-text"/>
              </w:rPr>
              <w:t xml:space="preserve">less than 3.5</w:t>
            </w:r>
          </w:p>
          <w:p>
            <w:pPr>
              <w:pStyle w:val="ListParagraph"/>
              <w:numPr>
                <w:ilvl w:val="0"/>
                <w:numId w:val="7"/>
              </w:numPr>
            </w:pPr>
            <w:r>
              <w:rPr>
                <w:rStyle w:val="row-content-rich-text"/>
              </w:rPr>
              <w:t xml:space="preserve">greater than or equal to 3.5 but less than or equal to 35</w:t>
            </w:r>
          </w:p>
          <w:p>
            <w:pPr>
              <w:pStyle w:val="ListParagraph"/>
              <w:numPr>
                <w:ilvl w:val="0"/>
                <w:numId w:val="7"/>
              </w:numPr>
            </w:pPr>
            <w:r>
              <w:rPr>
                <w:rStyle w:val="row-content-rich-text"/>
              </w:rPr>
              <w:t xml:space="preserve">greater than 35</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r>
              <w:rPr>
                <w:rStyle w:val="row-content-rich-text"/>
              </w:rPr>
              <w:t xml:space="preserve">Presented as a 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15 and over, are recorded as having Type II diabetes and who have had an eGFR recorded within the previous 12 months with a result of greater than or equal to 90.</w:t>
            </w:r>
          </w:p>
          <w:p>
            <w:pPr>
              <w:spacing w:after="160"/>
            </w:pPr>
            <w:r>
              <w:rPr>
                <w:rStyle w:val="row-content-rich-text"/>
              </w:rPr>
              <w:t xml:space="preserve">Calculation B: Number of regular clients who are Indigenous, aged 15 and over, are recorded as having Type II diabetes and who have had an eGFR recorded within the previous 12 months with a result of greater than or equal to 60 but less than 90.</w:t>
            </w:r>
          </w:p>
          <w:p>
            <w:pPr>
              <w:spacing w:after="160"/>
            </w:pPr>
            <w:r>
              <w:rPr>
                <w:rStyle w:val="row-content-rich-text"/>
              </w:rPr>
              <w:t xml:space="preserve">Calculation C: Number of regular clients who are Indigenous, aged 15 and over, are recorded as having Type II diabetes and who have had an eGFR recorded within the previous 12 months with a result of greater than or equal to 45 but less than 60.</w:t>
            </w:r>
          </w:p>
          <w:p>
            <w:pPr>
              <w:spacing w:after="160"/>
            </w:pPr>
            <w:r>
              <w:rPr>
                <w:rStyle w:val="row-content-rich-text"/>
              </w:rPr>
              <w:t xml:space="preserve">Calculation D: Number of regular clients who are Indigenous, aged 15 and over, are recorded as having Type II diabetes and who had an eGFR recorded within the previous 12 months with a result of greater than or equal to 30 but less than 45.</w:t>
            </w:r>
          </w:p>
          <w:p>
            <w:pPr>
              <w:spacing w:after="160"/>
            </w:pPr>
            <w:r>
              <w:rPr>
                <w:rStyle w:val="row-content-rich-text"/>
              </w:rPr>
              <w:t xml:space="preserve">Calculation E: Number of regular clients who are Indigenous, aged 15 and over, are recorded as having Type II diabetes and who had an eGFR recorded within the previous 12 months with a result of greater than or equal to 15 but less than 30.</w:t>
            </w:r>
          </w:p>
          <w:p>
            <w:pPr>
              <w:spacing w:after="160"/>
            </w:pPr>
            <w:r>
              <w:rPr>
                <w:rStyle w:val="row-content-rich-text"/>
              </w:rPr>
              <w:t xml:space="preserve">Calculation F: Number of regular clients who are Indigenous, aged 15 and over, are recorded as having Type II diabetes and who have had an eGFR recorded within the previous 12 months with a result of less than 15.</w:t>
            </w:r>
          </w:p>
          <w:p>
            <w:pPr>
              <w:spacing w:after="160"/>
            </w:pPr>
            <w:r>
              <w:rPr>
                <w:rStyle w:val="row-content-rich-text"/>
              </w:rPr>
              <w:t xml:space="preserve">Calculation G: Number of regular clients who are Indigenous, aged 15 and over, are recorded as having CVD and who have had an eGFR recorded within the previous 12 months with a result of greater than or equal to 90.</w:t>
            </w:r>
          </w:p>
          <w:p>
            <w:pPr>
              <w:spacing w:after="160"/>
            </w:pPr>
            <w:r>
              <w:rPr>
                <w:rStyle w:val="row-content-rich-text"/>
              </w:rPr>
              <w:t xml:space="preserve">Calculation H: Number of regular clients who are Indigenous, aged 15 and over, are recorded as having CVD and who have had an eGFR recorded within the previous 12 months with a result of greater than or equal to 60 but less than 90.</w:t>
            </w:r>
          </w:p>
          <w:p>
            <w:pPr>
              <w:spacing w:after="160"/>
            </w:pPr>
            <w:r>
              <w:rPr>
                <w:rStyle w:val="row-content-rich-text"/>
              </w:rPr>
              <w:t xml:space="preserve">Calculation I: Number of regular clients who are Indigenous, aged 15 and over, are recorded as having CVD and who have had an eGFR recorded within the previous 12 months with a result of greater than or equal to 45 but less than 60.</w:t>
            </w:r>
          </w:p>
          <w:p>
            <w:pPr>
              <w:spacing w:after="160"/>
            </w:pPr>
            <w:r>
              <w:rPr>
                <w:rStyle w:val="row-content-rich-text"/>
              </w:rPr>
              <w:t xml:space="preserve">Calculation J: Number of regular clients who are Indigenous, aged 15 and over, are recorded as having CVD and who had an eGFR recorded within the previous 12 months with a result of greater than or equal to 30 but less than 45.</w:t>
            </w:r>
          </w:p>
          <w:p>
            <w:pPr>
              <w:spacing w:after="160"/>
            </w:pPr>
            <w:r>
              <w:rPr>
                <w:rStyle w:val="row-content-rich-text"/>
              </w:rPr>
              <w:t xml:space="preserve">Calculation K: Number of regular clients who are Indigenous, aged 15 and over, are recorded as having CVD and who had an eGFR recorded within the previous 12 months with a result of greater than or equal to 15 but less than 30.</w:t>
            </w:r>
          </w:p>
          <w:p>
            <w:pPr>
              <w:spacing w:after="160"/>
            </w:pPr>
            <w:r>
              <w:rPr>
                <w:rStyle w:val="row-content-rich-text"/>
              </w:rPr>
              <w:t xml:space="preserve">Calculation L: Number of regular clients who are Indigenous, aged 15 and over, are recorded as having CVD and who have had an eGFR recorded within the previous 12 months with a result of less than 15.</w:t>
            </w:r>
          </w:p>
          <w:p>
            <w:pPr>
              <w:spacing w:after="160"/>
            </w:pPr>
            <w:r>
              <w:rPr>
                <w:rStyle w:val="row-content-rich-text"/>
              </w:rPr>
              <w:t xml:space="preserve">Calculation M: Number of regular clients who are male, Indigenous, aged 15 and over, are recorded as having Type II diabetes and who have had an ACR recorded within the previous 12 months with a result of less than 2.5.</w:t>
            </w:r>
          </w:p>
          <w:p>
            <w:pPr>
              <w:spacing w:after="160"/>
            </w:pPr>
            <w:r>
              <w:rPr>
                <w:rStyle w:val="row-content-rich-text"/>
              </w:rPr>
              <w:t xml:space="preserve">Calculation N: Number of regular clients who are male, Indigenous, aged 15 and over, are recorded as having Type II diabetes and who have had an ACR recorded within the previous 12 months with a result of greater than or equal to 2.5 but less than or equal to 25.</w:t>
            </w:r>
          </w:p>
          <w:p>
            <w:pPr>
              <w:spacing w:after="160"/>
            </w:pPr>
            <w:r>
              <w:rPr>
                <w:rStyle w:val="row-content-rich-text"/>
              </w:rPr>
              <w:t xml:space="preserve">Calculation O: Number of regular clients who are male, Indigenous, aged 15 and over, are recorded as having Type II diabetes and who have had an ACR recorded within the previous 12 months with a result of greater than 25.</w:t>
            </w:r>
          </w:p>
          <w:p>
            <w:pPr>
              <w:spacing w:after="160"/>
            </w:pPr>
            <w:r>
              <w:rPr>
                <w:rStyle w:val="row-content-rich-text"/>
              </w:rPr>
              <w:t xml:space="preserve">Calculation P: Number of regular clients who are female, Indigenous, aged 15 and over, are recorded as having Type II diabetes and who have had an ACR recorded within the previous 12 months with a result of less than 3.5.</w:t>
            </w:r>
          </w:p>
          <w:p>
            <w:pPr>
              <w:spacing w:after="160"/>
            </w:pPr>
            <w:r>
              <w:rPr>
                <w:rStyle w:val="row-content-rich-text"/>
              </w:rPr>
              <w:t xml:space="preserve">Calculation Q: Number of regular clients who are female, Indigenous, aged 15 and over, are recorded as having Type II diabetes and who have had an ACR recorded within the previous 12 months with a result of greater than or equal to 3.5 but less than or equal to 35.</w:t>
            </w:r>
          </w:p>
          <w:p>
            <w:pPr/>
            <w:r>
              <w:rPr>
                <w:rStyle w:val="row-content-rich-text"/>
              </w:rPr>
              <w:t xml:space="preserve">Calculation R: Number of regular clients who are female, Indigenous, aged 15 and over, are recorded as having Type II diabetes and who have had an ACR recorded within the previous 12 months with a result of 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c6c71b9cc5204fcf">
              <w:r>
                <w:rPr>
                  <w:rStyle w:val="Hyperlink"/>
                </w:rPr>
                <w:t xml:space="preserve">Person—diabetes mellitus status, code NN</w:t>
              </w:r>
            </w:hyperlink>
          </w:p>
          <w:p>
            <w:r>
              <w:rPr>
                <w:rStyle w:val="row-content"/>
                <w:b/>
              </w:rPr>
              <w:t xml:space="preserve">Data Source</w:t>
            </w:r>
          </w:p>
          <w:p>
            <w:hyperlink w:history="true" r:id="Rf5e3f8ef4ca4484c">
              <w:r>
                <w:rPr>
                  <w:rStyle w:val="Hyperlink"/>
                </w:rPr>
                <w:t xml:space="preserve">Indigenous primary health care data collection</w:t>
              </w:r>
            </w:hyperlink>
          </w:p>
          <w:p>
            <w:r>
              <w:rPr>
                <w:rStyle w:val="row-content"/>
                <w:b/>
              </w:rPr>
              <w:t xml:space="preserve">NMDS / DSS</w:t>
            </w:r>
          </w:p>
          <w:p>
            <w:hyperlink w:history="true" r:id="Rf29f3c00ff954dbe">
              <w:r>
                <w:rPr>
                  <w:rStyle w:val="Hyperlink"/>
                </w:rPr>
                <w:t xml:space="preserve">Indigenous primary health care NBEDS 2018–19</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1a7ce6cfe60f48df">
              <w:r>
                <w:rPr>
                  <w:rStyle w:val="Hyperlink"/>
                </w:rPr>
                <w:t xml:space="preserve">Person—age, total years N[NN]</w:t>
              </w:r>
            </w:hyperlink>
          </w:p>
          <w:p>
            <w:r>
              <w:rPr>
                <w:rStyle w:val="row-content"/>
                <w:b/>
              </w:rPr>
              <w:t xml:space="preserve">Data Source</w:t>
            </w:r>
          </w:p>
          <w:p>
            <w:hyperlink w:history="true" r:id="R5746de8a051c4872">
              <w:r>
                <w:rPr>
                  <w:rStyle w:val="Hyperlink"/>
                </w:rPr>
                <w:t xml:space="preserve">Indigenous primary health care data collection</w:t>
              </w:r>
            </w:hyperlink>
          </w:p>
          <w:p>
            <w:r>
              <w:rPr>
                <w:rStyle w:val="row-content"/>
                <w:b/>
              </w:rPr>
              <w:t xml:space="preserve">NMDS / DSS</w:t>
            </w:r>
          </w:p>
          <w:p>
            <w:hyperlink w:history="true" r:id="R53bc47664b7940b3">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727fc9f2263e4109">
              <w:r>
                <w:rPr>
                  <w:rStyle w:val="Hyperlink"/>
                </w:rPr>
                <w:t xml:space="preserve">Person—cardiovascular disease recorded indicator, yes/no code N</w:t>
              </w:r>
            </w:hyperlink>
          </w:p>
          <w:p>
            <w:r>
              <w:rPr>
                <w:rStyle w:val="row-content"/>
                <w:b/>
              </w:rPr>
              <w:t xml:space="preserve">Data Source</w:t>
            </w:r>
          </w:p>
          <w:p>
            <w:hyperlink w:history="true" r:id="R332de0136c8b460b">
              <w:r>
                <w:rPr>
                  <w:rStyle w:val="Hyperlink"/>
                </w:rPr>
                <w:t xml:space="preserve">Indigenous primary health care data collection</w:t>
              </w:r>
            </w:hyperlink>
          </w:p>
          <w:p>
            <w:r>
              <w:rPr>
                <w:rStyle w:val="row-content"/>
                <w:b/>
              </w:rPr>
              <w:t xml:space="preserve">NMDS / DSS</w:t>
            </w:r>
          </w:p>
          <w:p>
            <w:hyperlink w:history="true" r:id="Rfdded75721c9434c">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8a978ba518604d96">
              <w:r>
                <w:rPr>
                  <w:rStyle w:val="Hyperlink"/>
                </w:rPr>
                <w:t xml:space="preserve">Person—estimated glomerular filtration rate (eGFR) result, code N[A]</w:t>
              </w:r>
            </w:hyperlink>
          </w:p>
          <w:p>
            <w:r>
              <w:rPr>
                <w:rStyle w:val="row-content"/>
                <w:b/>
              </w:rPr>
              <w:t xml:space="preserve">Data Source</w:t>
            </w:r>
          </w:p>
          <w:p>
            <w:hyperlink w:history="true" r:id="R465affbf8fe2419a">
              <w:r>
                <w:rPr>
                  <w:rStyle w:val="Hyperlink"/>
                </w:rPr>
                <w:t xml:space="preserve">Indigenous primary health care data collection</w:t>
              </w:r>
            </w:hyperlink>
          </w:p>
          <w:p>
            <w:r>
              <w:rPr>
                <w:rStyle w:val="row-content"/>
                <w:b/>
              </w:rPr>
              <w:t xml:space="preserve">NMDS / DSS</w:t>
            </w:r>
          </w:p>
          <w:p>
            <w:hyperlink w:history="true" r:id="Rcae2a9be32cb4c21">
              <w:r>
                <w:rPr>
                  <w:rStyle w:val="Hyperlink"/>
                </w:rPr>
                <w:t xml:space="preserve">Indigenous primary health care NBEDS 2018–19</w:t>
              </w:r>
            </w:hyperlink>
          </w:p>
          <w:p>
            <w:r>
              <w:rPr>
                <w:rStyle w:val="row-content"/>
                <w:b/>
              </w:rPr>
              <w:t xml:space="preserve">Guide for use</w:t>
            </w:r>
          </w:p>
          <w:p>
            <w:r>
              <w:rPr>
                <w:rStyle w:val="row-content"/>
              </w:rPr>
              <w:t xml:space="preserve">For the purposes of this indicator, categories 1 (eGFR greater than or equal to 90) and 2 (eGFR greater than or equal to 60 but less than 90) of this data element are to be combined into a single category, i.e. eGFR greater than or equal to 60.</w:t>
            </w:r>
          </w:p>
          <w:p>
            <w:r>
              <w:rPr>
                <w:rStyle w:val="row-content"/>
              </w:rPr>
              <w:t xml:space="preserve"> </w:t>
            </w:r>
          </w:p>
          <w:p>
            <w:r>
              <w:rPr>
                <w:rStyle w:val="row-content"/>
                <w:b/>
                <w:color w:val="000000"/>
              </w:rPr>
              <w:t xml:space="preserve">Data Element / Data Set</w:t>
            </w:r>
          </w:p>
          <w:p>
            <w:hyperlink w:history="true" r:id="R0267862a7f404c93">
              <w:r>
                <w:rPr>
                  <w:rStyle w:val="Hyperlink"/>
                </w:rPr>
                <w:t xml:space="preserve">Person—Indigenous status, code N</w:t>
              </w:r>
            </w:hyperlink>
          </w:p>
          <w:p>
            <w:r>
              <w:rPr>
                <w:rStyle w:val="row-content"/>
                <w:b/>
              </w:rPr>
              <w:t xml:space="preserve">Data Source</w:t>
            </w:r>
          </w:p>
          <w:p>
            <w:hyperlink w:history="true" r:id="Rc105fa2b9cf84efe">
              <w:r>
                <w:rPr>
                  <w:rStyle w:val="Hyperlink"/>
                </w:rPr>
                <w:t xml:space="preserve">Indigenous primary health care data collection</w:t>
              </w:r>
            </w:hyperlink>
          </w:p>
          <w:p>
            <w:r>
              <w:rPr>
                <w:rStyle w:val="row-content"/>
                <w:b/>
              </w:rPr>
              <w:t xml:space="preserve">NMDS / DSS</w:t>
            </w:r>
          </w:p>
          <w:p>
            <w:hyperlink w:history="true" r:id="R829ab898985d4776">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60adc214fd5a404c">
              <w:r>
                <w:rPr>
                  <w:rStyle w:val="Hyperlink"/>
                </w:rPr>
                <w:t xml:space="preserve">Person—sex, code X</w:t>
              </w:r>
            </w:hyperlink>
          </w:p>
          <w:p>
            <w:r>
              <w:rPr>
                <w:rStyle w:val="row-content"/>
                <w:b/>
              </w:rPr>
              <w:t xml:space="preserve">Data Source</w:t>
            </w:r>
          </w:p>
          <w:p>
            <w:hyperlink w:history="true" r:id="R47da9f7081164446">
              <w:r>
                <w:rPr>
                  <w:rStyle w:val="Hyperlink"/>
                </w:rPr>
                <w:t xml:space="preserve">Indigenous primary health care data collection</w:t>
              </w:r>
            </w:hyperlink>
          </w:p>
          <w:p>
            <w:r>
              <w:rPr>
                <w:rStyle w:val="row-content"/>
                <w:b/>
              </w:rPr>
              <w:t xml:space="preserve">NMDS / DSS</w:t>
            </w:r>
          </w:p>
          <w:p>
            <w:hyperlink w:history="true" r:id="R3f21b93d7ed044c4">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25796cd51e6947d9">
              <w:r>
                <w:rPr>
                  <w:rStyle w:val="Hyperlink"/>
                </w:rPr>
                <w:t xml:space="preserve">Person—regular client indicator, yes/no code N</w:t>
              </w:r>
            </w:hyperlink>
          </w:p>
          <w:p>
            <w:r>
              <w:rPr>
                <w:rStyle w:val="row-content"/>
                <w:b/>
              </w:rPr>
              <w:t xml:space="preserve">Data Source</w:t>
            </w:r>
          </w:p>
          <w:p>
            <w:hyperlink w:history="true" r:id="R8ad6d4e22ebe4b3d">
              <w:r>
                <w:rPr>
                  <w:rStyle w:val="Hyperlink"/>
                </w:rPr>
                <w:t xml:space="preserve">Indigenous primary health care data collection</w:t>
              </w:r>
            </w:hyperlink>
          </w:p>
          <w:p>
            <w:r>
              <w:rPr>
                <w:rStyle w:val="row-content"/>
                <w:b/>
              </w:rPr>
              <w:t xml:space="preserve">NMDS / DSS</w:t>
            </w:r>
          </w:p>
          <w:p>
            <w:hyperlink w:history="true" r:id="Rd39afe8f8ad6400f">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6692da9e3be1483f">
              <w:r>
                <w:rPr>
                  <w:rStyle w:val="Hyperlink"/>
                </w:rPr>
                <w:t xml:space="preserve">Person—albumin/creatinine ratio (ACR) result, code N</w:t>
              </w:r>
            </w:hyperlink>
          </w:p>
          <w:p>
            <w:r>
              <w:rPr>
                <w:rStyle w:val="row-content"/>
                <w:b/>
              </w:rPr>
              <w:t xml:space="preserve">Data Source</w:t>
            </w:r>
          </w:p>
          <w:p>
            <w:hyperlink w:history="true" r:id="Rd9c16f58d00d492f">
              <w:r>
                <w:rPr>
                  <w:rStyle w:val="Hyperlink"/>
                </w:rPr>
                <w:t xml:space="preserve">Indigenous primary health care data collection</w:t>
              </w:r>
            </w:hyperlink>
          </w:p>
          <w:p>
            <w:r>
              <w:rPr>
                <w:rStyle w:val="row-content"/>
                <w:b/>
              </w:rPr>
              <w:t xml:space="preserve">NMDS / DSS</w:t>
            </w:r>
          </w:p>
          <w:p>
            <w:hyperlink w:history="true" r:id="Rb424d7e699954bdc">
              <w:r>
                <w:rPr>
                  <w:rStyle w:val="Hyperlink"/>
                </w:rPr>
                <w:t xml:space="preserve">Indigenous primary health care NBEDS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B, C, D, E and F: Total number of regular clients who are Indigenous, aged 15 and over, are recorded as having Type II diabetes and who had an eGFR result recorded within the previous 12 months.</w:t>
            </w:r>
          </w:p>
          <w:p>
            <w:pPr>
              <w:spacing w:after="160"/>
            </w:pPr>
            <w:r>
              <w:rPr>
                <w:rStyle w:val="row-content-rich-text"/>
              </w:rPr>
              <w:t xml:space="preserve">Calculation G, H, I, J, K and L: Total number of regular clients who are Indigenous, aged 15 and over, are recorded as having CVD and who had an eGFR result recorded within the previous 12 months.</w:t>
            </w:r>
          </w:p>
          <w:p>
            <w:pPr>
              <w:spacing w:after="160"/>
            </w:pPr>
            <w:r>
              <w:rPr>
                <w:rStyle w:val="row-content-rich-text"/>
              </w:rPr>
              <w:t xml:space="preserve">Calculation M, N and O: Total number of regular clients who are male, Indigenous, aged 15 and over, are recorded as having Type II diabetes and who have had an ACR recorded within the previous 12 months.</w:t>
            </w:r>
          </w:p>
          <w:p>
            <w:pPr/>
            <w:r>
              <w:rPr>
                <w:rStyle w:val="row-content-rich-text"/>
              </w:rPr>
              <w:t xml:space="preserve">Calculation P, Q and R: Total number of regular clients who are female, Indigenous, aged 15 and over, are recorded as having Type II diabetes and who have had an ACR recorded within the previous 12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08fa6aa5cad24cba">
              <w:r>
                <w:rPr>
                  <w:rStyle w:val="Hyperlink"/>
                </w:rPr>
                <w:t xml:space="preserve">Person—diabetes mellitus status, code NN</w:t>
              </w:r>
            </w:hyperlink>
          </w:p>
          <w:p>
            <w:r>
              <w:rPr>
                <w:rStyle w:val="row-content"/>
                <w:b/>
              </w:rPr>
              <w:t xml:space="preserve">Data Source</w:t>
            </w:r>
          </w:p>
          <w:p>
            <w:hyperlink w:history="true" r:id="R1c3669df46864ba2">
              <w:r>
                <w:rPr>
                  <w:rStyle w:val="Hyperlink"/>
                </w:rPr>
                <w:t xml:space="preserve">Indigenous primary health care data collection</w:t>
              </w:r>
            </w:hyperlink>
          </w:p>
          <w:p>
            <w:r>
              <w:rPr>
                <w:rStyle w:val="row-content"/>
                <w:b/>
              </w:rPr>
              <w:t xml:space="preserve">NMDS / DSS</w:t>
            </w:r>
          </w:p>
          <w:p>
            <w:hyperlink w:history="true" r:id="R551e3cc1d34c45c6">
              <w:r>
                <w:rPr>
                  <w:rStyle w:val="Hyperlink"/>
                </w:rPr>
                <w:t xml:space="preserve">Indigenous primary health care NBEDS 2018–19</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d6b052428adc4764">
              <w:r>
                <w:rPr>
                  <w:rStyle w:val="Hyperlink"/>
                </w:rPr>
                <w:t xml:space="preserve">Person—age, total years N[NN]</w:t>
              </w:r>
            </w:hyperlink>
          </w:p>
          <w:p>
            <w:r>
              <w:rPr>
                <w:rStyle w:val="row-content"/>
                <w:b/>
              </w:rPr>
              <w:t xml:space="preserve">Data Source</w:t>
            </w:r>
          </w:p>
          <w:p>
            <w:hyperlink w:history="true" r:id="R8b73085aa3574a3c">
              <w:r>
                <w:rPr>
                  <w:rStyle w:val="Hyperlink"/>
                </w:rPr>
                <w:t xml:space="preserve">Indigenous primary health care data collection</w:t>
              </w:r>
            </w:hyperlink>
          </w:p>
          <w:p>
            <w:r>
              <w:rPr>
                <w:rStyle w:val="row-content"/>
                <w:b/>
              </w:rPr>
              <w:t xml:space="preserve">NMDS / DSS</w:t>
            </w:r>
          </w:p>
          <w:p>
            <w:hyperlink w:history="true" r:id="Rc0aac2b3b9ab495e">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9a7299d6d68d41dd">
              <w:r>
                <w:rPr>
                  <w:rStyle w:val="Hyperlink"/>
                </w:rPr>
                <w:t xml:space="preserve">Person—estimated glomerular filtration rate (eGFR) recorded indicator, yes/no code N</w:t>
              </w:r>
            </w:hyperlink>
          </w:p>
          <w:p>
            <w:r>
              <w:rPr>
                <w:rStyle w:val="row-content"/>
                <w:b/>
              </w:rPr>
              <w:t xml:space="preserve">Data Source</w:t>
            </w:r>
          </w:p>
          <w:p>
            <w:hyperlink w:history="true" r:id="Rb020e8fccbd847e8">
              <w:r>
                <w:rPr>
                  <w:rStyle w:val="Hyperlink"/>
                </w:rPr>
                <w:t xml:space="preserve">Indigenous primary health care data collection</w:t>
              </w:r>
            </w:hyperlink>
          </w:p>
          <w:p>
            <w:r>
              <w:rPr>
                <w:rStyle w:val="row-content"/>
                <w:b/>
              </w:rPr>
              <w:t xml:space="preserve">NMDS / DSS</w:t>
            </w:r>
          </w:p>
          <w:p>
            <w:hyperlink w:history="true" r:id="Rf6d1046a106d466b">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4265a73637114e24">
              <w:r>
                <w:rPr>
                  <w:rStyle w:val="Hyperlink"/>
                </w:rPr>
                <w:t xml:space="preserve">Person—cardiovascular disease recorded indicator, yes/no code N</w:t>
              </w:r>
            </w:hyperlink>
          </w:p>
          <w:p>
            <w:r>
              <w:rPr>
                <w:rStyle w:val="row-content"/>
                <w:b/>
              </w:rPr>
              <w:t xml:space="preserve">Data Source</w:t>
            </w:r>
          </w:p>
          <w:p>
            <w:hyperlink w:history="true" r:id="Rbb1389ad22fd462a">
              <w:r>
                <w:rPr>
                  <w:rStyle w:val="Hyperlink"/>
                </w:rPr>
                <w:t xml:space="preserve">Indigenous primary health care data collection</w:t>
              </w:r>
            </w:hyperlink>
          </w:p>
          <w:p>
            <w:r>
              <w:rPr>
                <w:rStyle w:val="row-content"/>
                <w:b/>
              </w:rPr>
              <w:t xml:space="preserve">NMDS / DSS</w:t>
            </w:r>
          </w:p>
          <w:p>
            <w:hyperlink w:history="true" r:id="Rd38170ca129c4c03">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d9211437f0f040bf">
              <w:r>
                <w:rPr>
                  <w:rStyle w:val="Hyperlink"/>
                </w:rPr>
                <w:t xml:space="preserve">Person—Indigenous status, code N</w:t>
              </w:r>
            </w:hyperlink>
          </w:p>
          <w:p>
            <w:r>
              <w:rPr>
                <w:rStyle w:val="row-content"/>
                <w:b/>
              </w:rPr>
              <w:t xml:space="preserve">Data Source</w:t>
            </w:r>
          </w:p>
          <w:p>
            <w:hyperlink w:history="true" r:id="R09aa5c0296914e3f">
              <w:r>
                <w:rPr>
                  <w:rStyle w:val="Hyperlink"/>
                </w:rPr>
                <w:t xml:space="preserve">Indigenous primary health care data collection</w:t>
              </w:r>
            </w:hyperlink>
          </w:p>
          <w:p>
            <w:r>
              <w:rPr>
                <w:rStyle w:val="row-content"/>
                <w:b/>
              </w:rPr>
              <w:t xml:space="preserve">NMDS / DSS</w:t>
            </w:r>
          </w:p>
          <w:p>
            <w:hyperlink w:history="true" r:id="Rc79f5234fcb045f8">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c2865f53e4014bff">
              <w:r>
                <w:rPr>
                  <w:rStyle w:val="Hyperlink"/>
                </w:rPr>
                <w:t xml:space="preserve">Person—sex, code X</w:t>
              </w:r>
            </w:hyperlink>
          </w:p>
          <w:p>
            <w:r>
              <w:rPr>
                <w:rStyle w:val="row-content"/>
                <w:b/>
              </w:rPr>
              <w:t xml:space="preserve">Data Source</w:t>
            </w:r>
          </w:p>
          <w:p>
            <w:hyperlink w:history="true" r:id="Rb84c92c78f894554">
              <w:r>
                <w:rPr>
                  <w:rStyle w:val="Hyperlink"/>
                </w:rPr>
                <w:t xml:space="preserve">Indigenous primary health care data collection</w:t>
              </w:r>
            </w:hyperlink>
          </w:p>
          <w:p>
            <w:r>
              <w:rPr>
                <w:rStyle w:val="row-content"/>
                <w:b/>
              </w:rPr>
              <w:t xml:space="preserve">NMDS / DSS</w:t>
            </w:r>
          </w:p>
          <w:p>
            <w:hyperlink w:history="true" r:id="R742e28724f034291">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43003157b50f48bc">
              <w:r>
                <w:rPr>
                  <w:rStyle w:val="Hyperlink"/>
                </w:rPr>
                <w:t xml:space="preserve">Person—regular client indicator, yes/no code N</w:t>
              </w:r>
            </w:hyperlink>
          </w:p>
          <w:p>
            <w:r>
              <w:rPr>
                <w:rStyle w:val="row-content"/>
                <w:b/>
              </w:rPr>
              <w:t xml:space="preserve">Data Source</w:t>
            </w:r>
          </w:p>
          <w:p>
            <w:hyperlink w:history="true" r:id="R21e060fd47434f7e">
              <w:r>
                <w:rPr>
                  <w:rStyle w:val="Hyperlink"/>
                </w:rPr>
                <w:t xml:space="preserve">Indigenous primary health care data collection</w:t>
              </w:r>
            </w:hyperlink>
          </w:p>
          <w:p>
            <w:r>
              <w:rPr>
                <w:rStyle w:val="row-content"/>
                <w:b/>
              </w:rPr>
              <w:t xml:space="preserve">NMDS / DSS</w:t>
            </w:r>
          </w:p>
          <w:p>
            <w:hyperlink w:history="true" r:id="Rf4b8ff38478e4ec7">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c8df2fbe7ee242d1">
              <w:r>
                <w:rPr>
                  <w:rStyle w:val="Hyperlink"/>
                </w:rPr>
                <w:t xml:space="preserve">Person—albumin/creatinine ratio (ACR) result, code N</w:t>
              </w:r>
            </w:hyperlink>
          </w:p>
          <w:p>
            <w:r>
              <w:rPr>
                <w:rStyle w:val="row-content"/>
                <w:b/>
              </w:rPr>
              <w:t xml:space="preserve">Data Source</w:t>
            </w:r>
          </w:p>
          <w:p>
            <w:hyperlink w:history="true" r:id="R25a9ec183f654c5a">
              <w:r>
                <w:rPr>
                  <w:rStyle w:val="Hyperlink"/>
                </w:rPr>
                <w:t xml:space="preserve">Indigenous primary health care data collection</w:t>
              </w:r>
            </w:hyperlink>
          </w:p>
          <w:p>
            <w:r>
              <w:rPr>
                <w:rStyle w:val="row-content"/>
                <w:b/>
              </w:rPr>
              <w:t xml:space="preserve">NMDS / DSS</w:t>
            </w:r>
          </w:p>
          <w:p>
            <w:hyperlink w:history="true" r:id="R84fec386e19e4a0f">
              <w:r>
                <w:rPr>
                  <w:rStyle w:val="Hyperlink"/>
                </w:rPr>
                <w:t xml:space="preserve">Indigenous primary health care NBEDS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cc0bac0a39e4464f">
              <w:r>
                <w:rPr>
                  <w:rStyle w:val="Hyperlink"/>
                </w:rPr>
                <w:t xml:space="preserve">Person—age, total years N[NN]</w:t>
              </w:r>
            </w:hyperlink>
          </w:p>
          <w:p>
            <w:r>
              <w:rPr>
                <w:rStyle w:val="row-content"/>
                <w:b/>
              </w:rPr>
              <w:t xml:space="preserve">Data Source</w:t>
            </w:r>
          </w:p>
          <w:p>
            <w:hyperlink w:history="true" r:id="Refef474b6af74970">
              <w:r>
                <w:rPr>
                  <w:rStyle w:val="Hyperlink"/>
                </w:rPr>
                <w:t xml:space="preserve">Indigenous primary health care data collection</w:t>
              </w:r>
            </w:hyperlink>
          </w:p>
          <w:p>
            <w:r>
              <w:rPr>
                <w:rStyle w:val="row-content"/>
                <w:b/>
              </w:rPr>
              <w:t xml:space="preserve">NMDS / DSS</w:t>
            </w:r>
          </w:p>
          <w:p>
            <w:hyperlink w:history="true" r:id="Re03bb9b93fc4403c">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edff9f0ffeab461e">
              <w:r>
                <w:rPr>
                  <w:rStyle w:val="Hyperlink"/>
                </w:rPr>
                <w:t xml:space="preserve">Person—sex, code X</w:t>
              </w:r>
            </w:hyperlink>
          </w:p>
          <w:p>
            <w:r>
              <w:rPr>
                <w:rStyle w:val="row-content"/>
                <w:b/>
              </w:rPr>
              <w:t xml:space="preserve">Data Source</w:t>
            </w:r>
          </w:p>
          <w:p>
            <w:hyperlink w:history="true" r:id="R750d65f7c3854720">
              <w:r>
                <w:rPr>
                  <w:rStyle w:val="Hyperlink"/>
                </w:rPr>
                <w:t xml:space="preserve">Indigenous primary health care data collection</w:t>
              </w:r>
            </w:hyperlink>
          </w:p>
          <w:p>
            <w:r>
              <w:rPr>
                <w:rStyle w:val="row-content"/>
                <w:b/>
              </w:rPr>
              <w:t xml:space="preserve">NMDS / DSS</w:t>
            </w:r>
          </w:p>
          <w:p>
            <w:hyperlink w:history="true" r:id="R7c5cfafac9544183">
              <w:r>
                <w:rPr>
                  <w:rStyle w:val="Hyperlink"/>
                </w:rPr>
                <w:t xml:space="preserve">Indigenous primary health care NBEDS 2018–19</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4a3c785809ec4e34">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503efda22dc049a1">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6276b0f6de4348ee">
              <w:r>
                <w:rPr>
                  <w:rStyle w:val="Hyperlink"/>
                </w:rPr>
                <w:t xml:space="preserve">Indigenous primary health care: PI19b-Proportion of regular clients with a selected chronic disease who have had a kidney function test with results within specified levels, 2015-2017</w:t>
              </w:r>
            </w:hyperlink>
          </w:p>
          <w:p>
            <w:pPr>
              <w:pStyle w:val="registration-status"/>
              <w:spacing w:before="0" w:after="0"/>
            </w:pPr>
            <w:hyperlink w:history="true" r:id="R70393e0bca284299">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12422edd8b444ca8">
              <w:r>
                <w:rPr>
                  <w:rStyle w:val="Hyperlink"/>
                  <w:color w:val="244061"/>
                </w:rPr>
                <w:t xml:space="preserve">Indigenous</w:t>
              </w:r>
            </w:hyperlink>
            <w:r>
              <w:rPr>
                <w:rStyle w:val="row-content"/>
                <w:color w:val="244061"/>
              </w:rPr>
              <w:t xml:space="preserve">, Superseded 17/10/2018</w:t>
            </w:r>
          </w:p>
          <w:p>
            <w:r>
              <w:br/>
            </w:r>
            <w:r>
              <w:rPr>
                <w:rStyle w:val="row-content"/>
              </w:rPr>
              <w:t xml:space="preserve">Has been superseded by </w:t>
            </w:r>
            <w:hyperlink w:history="true" r:id="Ref6b51c2e52a49ef">
              <w:r>
                <w:rPr>
                  <w:rStyle w:val="Hyperlink"/>
                </w:rPr>
                <w:t xml:space="preserve">Indigenous primary health care: PI19b-Proportion of regular clients with a selected chronic disease who have had a kidney function test with results within specified levels, June 2020</w:t>
              </w:r>
            </w:hyperlink>
          </w:p>
          <w:p>
            <w:pPr>
              <w:pStyle w:val="registration-status"/>
              <w:spacing w:before="0" w:after="0"/>
            </w:pPr>
            <w:hyperlink w:history="true" r:id="Re9909127633b4257">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2809d0f1207e4b78">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31293cc900a24132">
              <w:r>
                <w:rPr>
                  <w:rStyle w:val="Hyperlink"/>
                </w:rPr>
                <w:t xml:space="preserve">Indigenous primary health care: PI19a-Number of regular clients with a selected chronic disease who have had a kidney function test with results within specified levels, 2018-2019</w:t>
              </w:r>
            </w:hyperlink>
          </w:p>
          <w:p>
            <w:pPr>
              <w:pStyle w:val="registration-status"/>
              <w:spacing w:before="0" w:after="0"/>
            </w:pPr>
            <w:hyperlink w:history="true" r:id="R05310774b57742b1">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62e9eaef546741ff">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7e49597e24e64845"/>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688002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bfb23b7fbe74415e"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e49597e24e64845" /><Relationship Type="http://schemas.openxmlformats.org/officeDocument/2006/relationships/header" Target="/word/header1.xml" Id="Re4c9bf1a981647bc" /><Relationship Type="http://schemas.openxmlformats.org/officeDocument/2006/relationships/settings" Target="/word/settings.xml" Id="Rd19a06b552414e3b" /><Relationship Type="http://schemas.openxmlformats.org/officeDocument/2006/relationships/styles" Target="/word/styles.xml" Id="R9c80315c9e1342e1" /><Relationship Type="http://schemas.openxmlformats.org/officeDocument/2006/relationships/numbering" Target="/word/numbering.xml" Id="Rd88b845c7db6476c" /><Relationship Type="http://schemas.openxmlformats.org/officeDocument/2006/relationships/hyperlink" Target="https://meteor.aihw.gov.au/RegistrationAuthority/12" TargetMode="External" Id="R190f34ed7cde4a99" /><Relationship Type="http://schemas.openxmlformats.org/officeDocument/2006/relationships/hyperlink" Target="https://meteor.aihw.gov.au/RegistrationAuthority/6" TargetMode="External" Id="R8b6ff00118de4de6" /><Relationship Type="http://schemas.openxmlformats.org/officeDocument/2006/relationships/hyperlink" Target="https://meteor.aihw.gov.au/content/687913" TargetMode="External" Id="R9a49b413a2974fe0" /><Relationship Type="http://schemas.openxmlformats.org/officeDocument/2006/relationships/hyperlink" Target="https://meteor.aihw.gov.au/RegistrationAuthority/12" TargetMode="External" Id="Rff77b432b5b84f7b" /><Relationship Type="http://schemas.openxmlformats.org/officeDocument/2006/relationships/hyperlink" Target="https://meteor.aihw.gov.au/RegistrationAuthority/6" TargetMode="External" Id="R8eb1b35393bf406e" /><Relationship Type="http://schemas.openxmlformats.org/officeDocument/2006/relationships/hyperlink" Target="https://meteor.aihw.gov.au/content/270194" TargetMode="External" Id="Rc6c71b9cc5204fcf" /><Relationship Type="http://schemas.openxmlformats.org/officeDocument/2006/relationships/hyperlink" Target="https://meteor.aihw.gov.au/content/430643" TargetMode="External" Id="Rf5e3f8ef4ca4484c" /><Relationship Type="http://schemas.openxmlformats.org/officeDocument/2006/relationships/hyperlink" Target="https://meteor.aihw.gov.au/content/694101" TargetMode="External" Id="Rf29f3c00ff954dbe" /><Relationship Type="http://schemas.openxmlformats.org/officeDocument/2006/relationships/hyperlink" Target="https://meteor.aihw.gov.au/content/303794" TargetMode="External" Id="R1a7ce6cfe60f48df" /><Relationship Type="http://schemas.openxmlformats.org/officeDocument/2006/relationships/hyperlink" Target="https://meteor.aihw.gov.au/content/430643" TargetMode="External" Id="R5746de8a051c4872" /><Relationship Type="http://schemas.openxmlformats.org/officeDocument/2006/relationships/hyperlink" Target="https://meteor.aihw.gov.au/content/694101" TargetMode="External" Id="R53bc47664b7940b3" /><Relationship Type="http://schemas.openxmlformats.org/officeDocument/2006/relationships/hyperlink" Target="https://meteor.aihw.gov.au/content/465948" TargetMode="External" Id="R727fc9f2263e4109" /><Relationship Type="http://schemas.openxmlformats.org/officeDocument/2006/relationships/hyperlink" Target="https://meteor.aihw.gov.au/content/430643" TargetMode="External" Id="R332de0136c8b460b" /><Relationship Type="http://schemas.openxmlformats.org/officeDocument/2006/relationships/hyperlink" Target="https://meteor.aihw.gov.au/content/694101" TargetMode="External" Id="Rfdded75721c9434c" /><Relationship Type="http://schemas.openxmlformats.org/officeDocument/2006/relationships/hyperlink" Target="https://meteor.aihw.gov.au/content/503010" TargetMode="External" Id="R8a978ba518604d96" /><Relationship Type="http://schemas.openxmlformats.org/officeDocument/2006/relationships/hyperlink" Target="https://meteor.aihw.gov.au/content/430643" TargetMode="External" Id="R465affbf8fe2419a" /><Relationship Type="http://schemas.openxmlformats.org/officeDocument/2006/relationships/hyperlink" Target="https://meteor.aihw.gov.au/content/694101" TargetMode="External" Id="Rcae2a9be32cb4c21" /><Relationship Type="http://schemas.openxmlformats.org/officeDocument/2006/relationships/hyperlink" Target="https://meteor.aihw.gov.au/content/602543" TargetMode="External" Id="R0267862a7f404c93" /><Relationship Type="http://schemas.openxmlformats.org/officeDocument/2006/relationships/hyperlink" Target="https://meteor.aihw.gov.au/content/430643" TargetMode="External" Id="Rc105fa2b9cf84efe" /><Relationship Type="http://schemas.openxmlformats.org/officeDocument/2006/relationships/hyperlink" Target="https://meteor.aihw.gov.au/content/694101" TargetMode="External" Id="R829ab898985d4776" /><Relationship Type="http://schemas.openxmlformats.org/officeDocument/2006/relationships/hyperlink" Target="https://meteor.aihw.gov.au/content/635126" TargetMode="External" Id="R60adc214fd5a404c" /><Relationship Type="http://schemas.openxmlformats.org/officeDocument/2006/relationships/hyperlink" Target="https://meteor.aihw.gov.au/content/430643" TargetMode="External" Id="R47da9f7081164446" /><Relationship Type="http://schemas.openxmlformats.org/officeDocument/2006/relationships/hyperlink" Target="https://meteor.aihw.gov.au/content/694101" TargetMode="External" Id="R3f21b93d7ed044c4" /><Relationship Type="http://schemas.openxmlformats.org/officeDocument/2006/relationships/hyperlink" Target="https://meteor.aihw.gov.au/content/686291" TargetMode="External" Id="R25796cd51e6947d9" /><Relationship Type="http://schemas.openxmlformats.org/officeDocument/2006/relationships/hyperlink" Target="https://meteor.aihw.gov.au/content/430643" TargetMode="External" Id="R8ad6d4e22ebe4b3d" /><Relationship Type="http://schemas.openxmlformats.org/officeDocument/2006/relationships/hyperlink" Target="https://meteor.aihw.gov.au/content/694101" TargetMode="External" Id="Rd39afe8f8ad6400f" /><Relationship Type="http://schemas.openxmlformats.org/officeDocument/2006/relationships/hyperlink" Target="https://meteor.aihw.gov.au/content/699033" TargetMode="External" Id="R6692da9e3be1483f" /><Relationship Type="http://schemas.openxmlformats.org/officeDocument/2006/relationships/hyperlink" Target="https://meteor.aihw.gov.au/content/430643" TargetMode="External" Id="Rd9c16f58d00d492f" /><Relationship Type="http://schemas.openxmlformats.org/officeDocument/2006/relationships/hyperlink" Target="https://meteor.aihw.gov.au/content/694101" TargetMode="External" Id="Rb424d7e699954bdc" /><Relationship Type="http://schemas.openxmlformats.org/officeDocument/2006/relationships/hyperlink" Target="https://meteor.aihw.gov.au/content/270194" TargetMode="External" Id="R08fa6aa5cad24cba" /><Relationship Type="http://schemas.openxmlformats.org/officeDocument/2006/relationships/hyperlink" Target="https://meteor.aihw.gov.au/content/430643" TargetMode="External" Id="R1c3669df46864ba2" /><Relationship Type="http://schemas.openxmlformats.org/officeDocument/2006/relationships/hyperlink" Target="https://meteor.aihw.gov.au/content/694101" TargetMode="External" Id="R551e3cc1d34c45c6" /><Relationship Type="http://schemas.openxmlformats.org/officeDocument/2006/relationships/hyperlink" Target="https://meteor.aihw.gov.au/content/303794" TargetMode="External" Id="Rd6b052428adc4764" /><Relationship Type="http://schemas.openxmlformats.org/officeDocument/2006/relationships/hyperlink" Target="https://meteor.aihw.gov.au/content/430643" TargetMode="External" Id="R8b73085aa3574a3c" /><Relationship Type="http://schemas.openxmlformats.org/officeDocument/2006/relationships/hyperlink" Target="https://meteor.aihw.gov.au/content/694101" TargetMode="External" Id="Rc0aac2b3b9ab495e" /><Relationship Type="http://schemas.openxmlformats.org/officeDocument/2006/relationships/hyperlink" Target="https://meteor.aihw.gov.au/content/464961" TargetMode="External" Id="R9a7299d6d68d41dd" /><Relationship Type="http://schemas.openxmlformats.org/officeDocument/2006/relationships/hyperlink" Target="https://meteor.aihw.gov.au/content/430643" TargetMode="External" Id="Rb020e8fccbd847e8" /><Relationship Type="http://schemas.openxmlformats.org/officeDocument/2006/relationships/hyperlink" Target="https://meteor.aihw.gov.au/content/694101" TargetMode="External" Id="Rf6d1046a106d466b" /><Relationship Type="http://schemas.openxmlformats.org/officeDocument/2006/relationships/hyperlink" Target="https://meteor.aihw.gov.au/content/465948" TargetMode="External" Id="R4265a73637114e24" /><Relationship Type="http://schemas.openxmlformats.org/officeDocument/2006/relationships/hyperlink" Target="https://meteor.aihw.gov.au/content/430643" TargetMode="External" Id="Rbb1389ad22fd462a" /><Relationship Type="http://schemas.openxmlformats.org/officeDocument/2006/relationships/hyperlink" Target="https://meteor.aihw.gov.au/content/694101" TargetMode="External" Id="Rd38170ca129c4c03" /><Relationship Type="http://schemas.openxmlformats.org/officeDocument/2006/relationships/hyperlink" Target="https://meteor.aihw.gov.au/content/602543" TargetMode="External" Id="Rd9211437f0f040bf" /><Relationship Type="http://schemas.openxmlformats.org/officeDocument/2006/relationships/hyperlink" Target="https://meteor.aihw.gov.au/content/430643" TargetMode="External" Id="R09aa5c0296914e3f" /><Relationship Type="http://schemas.openxmlformats.org/officeDocument/2006/relationships/hyperlink" Target="https://meteor.aihw.gov.au/content/694101" TargetMode="External" Id="Rc79f5234fcb045f8" /><Relationship Type="http://schemas.openxmlformats.org/officeDocument/2006/relationships/hyperlink" Target="https://meteor.aihw.gov.au/content/635126" TargetMode="External" Id="Rc2865f53e4014bff" /><Relationship Type="http://schemas.openxmlformats.org/officeDocument/2006/relationships/hyperlink" Target="https://meteor.aihw.gov.au/content/430643" TargetMode="External" Id="Rb84c92c78f894554" /><Relationship Type="http://schemas.openxmlformats.org/officeDocument/2006/relationships/hyperlink" Target="https://meteor.aihw.gov.au/content/694101" TargetMode="External" Id="R742e28724f034291" /><Relationship Type="http://schemas.openxmlformats.org/officeDocument/2006/relationships/hyperlink" Target="https://meteor.aihw.gov.au/content/686291" TargetMode="External" Id="R43003157b50f48bc" /><Relationship Type="http://schemas.openxmlformats.org/officeDocument/2006/relationships/hyperlink" Target="https://meteor.aihw.gov.au/content/430643" TargetMode="External" Id="R21e060fd47434f7e" /><Relationship Type="http://schemas.openxmlformats.org/officeDocument/2006/relationships/hyperlink" Target="https://meteor.aihw.gov.au/content/694101" TargetMode="External" Id="Rf4b8ff38478e4ec7" /><Relationship Type="http://schemas.openxmlformats.org/officeDocument/2006/relationships/hyperlink" Target="https://meteor.aihw.gov.au/content/699033" TargetMode="External" Id="Rc8df2fbe7ee242d1" /><Relationship Type="http://schemas.openxmlformats.org/officeDocument/2006/relationships/hyperlink" Target="https://meteor.aihw.gov.au/content/430643" TargetMode="External" Id="R25a9ec183f654c5a" /><Relationship Type="http://schemas.openxmlformats.org/officeDocument/2006/relationships/hyperlink" Target="https://meteor.aihw.gov.au/content/694101" TargetMode="External" Id="R84fec386e19e4a0f" /><Relationship Type="http://schemas.openxmlformats.org/officeDocument/2006/relationships/hyperlink" Target="https://meteor.aihw.gov.au/content/303794" TargetMode="External" Id="Rcc0bac0a39e4464f" /><Relationship Type="http://schemas.openxmlformats.org/officeDocument/2006/relationships/hyperlink" Target="https://meteor.aihw.gov.au/content/430643" TargetMode="External" Id="Refef474b6af74970" /><Relationship Type="http://schemas.openxmlformats.org/officeDocument/2006/relationships/hyperlink" Target="https://meteor.aihw.gov.au/content/694101" TargetMode="External" Id="Re03bb9b93fc4403c" /><Relationship Type="http://schemas.openxmlformats.org/officeDocument/2006/relationships/hyperlink" Target="https://meteor.aihw.gov.au/content/635126" TargetMode="External" Id="Redff9f0ffeab461e" /><Relationship Type="http://schemas.openxmlformats.org/officeDocument/2006/relationships/hyperlink" Target="https://meteor.aihw.gov.au/content/430643" TargetMode="External" Id="R750d65f7c3854720" /><Relationship Type="http://schemas.openxmlformats.org/officeDocument/2006/relationships/hyperlink" Target="https://meteor.aihw.gov.au/content/694101" TargetMode="External" Id="R7c5cfafac9544183" /><Relationship Type="http://schemas.openxmlformats.org/officeDocument/2006/relationships/hyperlink" Target="https://meteor.aihw.gov.au/content/410681" TargetMode="External" Id="R4a3c785809ec4e34" /><Relationship Type="http://schemas.openxmlformats.org/officeDocument/2006/relationships/hyperlink" Target="https://meteor.aihw.gov.au/content/430643" TargetMode="External" Id="R503efda22dc049a1" /><Relationship Type="http://schemas.openxmlformats.org/officeDocument/2006/relationships/hyperlink" Target="https://meteor.aihw.gov.au/content/686368" TargetMode="External" Id="R6276b0f6de4348ee" /><Relationship Type="http://schemas.openxmlformats.org/officeDocument/2006/relationships/hyperlink" Target="https://meteor.aihw.gov.au/RegistrationAuthority/12" TargetMode="External" Id="R70393e0bca284299" /><Relationship Type="http://schemas.openxmlformats.org/officeDocument/2006/relationships/hyperlink" Target="https://meteor.aihw.gov.au/RegistrationAuthority/6" TargetMode="External" Id="R12422edd8b444ca8" /><Relationship Type="http://schemas.openxmlformats.org/officeDocument/2006/relationships/hyperlink" Target="https://meteor.aihw.gov.au/content/717344" TargetMode="External" Id="Ref6b51c2e52a49ef" /><Relationship Type="http://schemas.openxmlformats.org/officeDocument/2006/relationships/hyperlink" Target="https://meteor.aihw.gov.au/RegistrationAuthority/12" TargetMode="External" Id="Re9909127633b4257" /><Relationship Type="http://schemas.openxmlformats.org/officeDocument/2006/relationships/hyperlink" Target="https://meteor.aihw.gov.au/RegistrationAuthority/6" TargetMode="External" Id="R2809d0f1207e4b78" /><Relationship Type="http://schemas.openxmlformats.org/officeDocument/2006/relationships/hyperlink" Target="https://meteor.aihw.gov.au/content/688000" TargetMode="External" Id="R31293cc900a24132" /><Relationship Type="http://schemas.openxmlformats.org/officeDocument/2006/relationships/hyperlink" Target="https://meteor.aihw.gov.au/RegistrationAuthority/12" TargetMode="External" Id="R05310774b57742b1" /><Relationship Type="http://schemas.openxmlformats.org/officeDocument/2006/relationships/hyperlink" Target="https://meteor.aihw.gov.au/RegistrationAuthority/6" TargetMode="External" Id="R62e9eaef546741ff" /></Relationships>
</file>

<file path=word/_rels/header1.xml.rels>&#65279;<?xml version="1.0" encoding="utf-8"?><Relationships xmlns="http://schemas.openxmlformats.org/package/2006/relationships"><Relationship Type="http://schemas.openxmlformats.org/officeDocument/2006/relationships/image" Target="/media/image.png" Id="Rbfb23b7fbe74415e" /></Relationships>
</file>