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fe4542b344016" /></Relationships>
</file>

<file path=word/document.xml><?xml version="1.0" encoding="utf-8"?>
<w:document xmlns:r="http://schemas.openxmlformats.org/officeDocument/2006/relationships" xmlns:w="http://schemas.openxmlformats.org/wordprocessingml/2006/main">
  <w:body>
    <w:p>
      <w:pPr>
        <w:pStyle w:val="Title"/>
      </w:pPr>
      <w:r>
        <w:t>Adoptions Australia 2016–17;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2016–17;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ce36266b2436b">
              <w:r>
                <w:rPr>
                  <w:rStyle w:val="Hyperlink"/>
                  <w:color w:val="244061"/>
                </w:rPr>
                <w:t xml:space="preserve">AIHW Data Quality Statements</w:t>
              </w:r>
            </w:hyperlink>
            <w:r>
              <w:rPr>
                <w:rStyle w:val="row-content"/>
                <w:color w:val="244061"/>
              </w:rPr>
              <w:t xml:space="preserve">, Superseded 12/12/2018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birth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and the 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f57154b807844cd2">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Adoptions Australia 2016–17 is from 1 July 2016 to 30 June 2017.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2016–17 collection, the first iteration of data was due to the AIHW 6 weeks after the end of the financial year (by 11 August 2017), and data were finalised for all states and territories by 9 September 2017.</w:t>
            </w:r>
          </w:p>
          <w:p>
            <w:pPr>
              <w:spacing w:after="160"/>
            </w:pPr>
            <w:r>
              <w:rPr>
                <w:rStyle w:val="row-content-rich-text"/>
              </w:rPr>
              <w:t xml:space="preserve">The data for each collection period are released in the AIHW’s Adoptions Australia annual publication. In 2016–17, concurrent with the annual publication, key findings were released in an online snapshot and, for intercountry, local and known child adoption data, through an interactive web portal.</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7aa208284536445c">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31c4fd24ddd047e2">
              <w:r>
                <w:rPr>
                  <w:rStyle w:val="Hyperlink"/>
                </w:rPr>
                <w:t xml:space="preserve">info@aihw.gov.au</w:t>
              </w:r>
            </w:hyperlink>
            <w:r>
              <w:rPr>
                <w:rStyle w:val="row-content-rich-text"/>
              </w:rPr>
              <w:t xml:space="preserve">.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ab814ea730054cdc">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Legislation. Supporting information is also provided in the footnotes to tables and in the Glossary. The Australian Government Department of Social Services, in liaison with the Australian Government Attorney-General’s Department (AGD)—the Australian Central Authority for intercountry adoption—provides expert advice on current intercountry adoption programs, which is incorporated into the report to inform and contextualise analyses. Chapter 2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finalisations that occurred during the reporting period (that is, the 2016–17 reporting period includes data from 1 July 2016 to 30 June 2017). These data present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Immigration and Border Protection on the number of visas issued for expatriate adoption, the proportion of visa refusals and the program status of countries of adoptee citizenship for these adoptions provide complementary information. When combined, these data give a detailed view of adoption in Australia.</w:t>
            </w:r>
          </w:p>
          <w:p>
            <w:pPr>
              <w:spacing w:after="160"/>
            </w:pPr>
            <w:r>
              <w:rPr>
                <w:rStyle w:val="row-content-rich-text"/>
                <w:b/>
              </w:rPr>
              <w:t xml:space="preserve">Scope</w:t>
            </w:r>
          </w:p>
          <w:p>
            <w:pPr>
              <w:spacing w:after="160"/>
            </w:pPr>
            <w:r>
              <w:rPr>
                <w:rStyle w:val="row-content-rich-text"/>
              </w:rPr>
              <w:t xml:space="preserve">A description of adoption and information on the sources of data for the collection are presented in Chapter 1.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(that is, entered the home) during the reporting period. </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un  Research, both issued by the national Health and Medical Research Council.</w:t>
            </w:r>
          </w:p>
          <w:p>
            <w:pPr>
              <w:spacing w:after="160"/>
            </w:pPr>
            <w:r>
              <w:rPr>
                <w:rStyle w:val="row-content-rich-text"/>
              </w:rPr>
              <w:t xml:space="preserve">Due to the small size of the population covered by the collection, the potential for small cells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2016–17, of the 27 data tables in the aggregate collection:</w:t>
            </w:r>
          </w:p>
          <w:p>
            <w:pPr>
              <w:pStyle w:val="ListParagraph"/>
              <w:numPr>
                <w:ilvl w:val="0"/>
                <w:numId w:val="5"/>
              </w:numPr>
            </w:pPr>
            <w:r>
              <w:rPr>
                <w:rStyle w:val="row-content-rich-text"/>
              </w:rPr>
              <w:t xml:space="preserve">only 3 tables did not contain data for all jurisdictions, as New South Wales was unable to provide data for 2 tables and Western Australia for 1 table</w:t>
            </w:r>
          </w:p>
          <w:p>
            <w:pPr>
              <w:pStyle w:val="ListParagraph"/>
              <w:numPr>
                <w:ilvl w:val="0"/>
                <w:numId w:val="5"/>
              </w:numPr>
            </w:pPr>
            <w:r>
              <w:rPr>
                <w:rStyle w:val="row-content-rich-text"/>
              </w:rPr>
              <w:t xml:space="preserve">2 tables contain data recorded as unknown, but no tables had an unknown category that comprised more than 1%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Adoptions Australia 2008–09 for further details (AIHW 2010a).</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Immigration and Border Protection, introduced by the Australian Border Force Act 2015,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pStyle w:val="Heading3"/>
            </w:pPr>
            <w:r>
              <w:rPr>
                <w:rStyle w:val="row-content-rich-text"/>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A study from the United States of America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w:t>
            </w:r>
          </w:p>
          <w:p>
            <w:pPr>
              <w:spacing w:after="160"/>
            </w:pPr>
            <w:r>
              <w:rPr>
                <w:rStyle w:val="row-content-rich-text"/>
              </w:rPr>
              <w:t xml:space="preserve">Several areas that could enrich the understanding of adoption in Australia have no reliable data source.</w:t>
            </w:r>
          </w:p>
          <w:p>
            <w:pPr>
              <w:pStyle w:val="Heading4"/>
            </w:pPr>
            <w:r>
              <w:rPr>
                <w:rStyle w:val="row-content-rich-text"/>
              </w:rPr>
              <w:t xml:space="preserve">Parents and families</w:t>
            </w:r>
          </w:p>
          <w:p>
            <w:pPr>
              <w:pStyle w:val="Heading4"/>
            </w:pPr>
            <w:r>
              <w:rPr>
                <w:rStyle w:val="row-content-rich-text"/>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Expanding national data on adoptive families involved in carer adoptions was investigated curing 2016 and a pilot of additional data was run as part of the 2016–17 national collection. With the growing proportion of carer adoptions in the Australian adoption context, this information will become increasingly important to understanding adoption in Australia. It is considered likely that these data will be able to be incorporated into national reporting from 2017–18.</w:t>
            </w:r>
          </w:p>
          <w:p>
            <w:pPr>
              <w:pStyle w:val="Heading4"/>
            </w:pPr>
            <w:r>
              <w:rPr>
                <w:rStyle w:val="row-content-rich-text"/>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In particular, for children with disability or medical conditions, the more informed adoptive parents are,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pStyle w:val="Heading4"/>
            </w:pPr>
            <w:r>
              <w:rPr>
                <w:rStyle w:val="row-content-rich-text"/>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has not currently been explored. These data could provide useful information on the similarities or differences between types of adoption.</w:t>
            </w:r>
          </w:p>
          <w:p>
            <w:pPr>
              <w:pStyle w:val="Heading4"/>
            </w:pPr>
            <w:r>
              <w:rPr>
                <w:rStyle w:val="row-content-rich-text"/>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pStyle w:val="Heading4"/>
            </w:pPr>
            <w:r>
              <w:rPr>
                <w:rStyle w:val="row-content-rich-text"/>
              </w:rPr>
              <w:t xml:space="preserve">Adoptions of children with special needs</w:t>
            </w:r>
          </w:p>
          <w:p>
            <w:pPr>
              <w:spacing w:after="160"/>
            </w:pPr>
            <w:r>
              <w:rPr>
                <w:rStyle w:val="row-content-rich-text"/>
              </w:rPr>
              <w:t xml:space="preserve">Children with a broad range of characteristics and conditions that are deemed to pose potential barriers to the permanent placement of a child in their country of origin represent a growing proportion of the children for whom intercountry adoption is deemed appropriate. However, due to complexities in determining a consistent definition of ‘special needs’, data on the adoption of children with special needs have not previously been collected at the national level in Australia.</w:t>
            </w:r>
          </w:p>
          <w:p>
            <w:pPr>
              <w:spacing w:after="160"/>
            </w:pPr>
            <w:r>
              <w:rPr>
                <w:rStyle w:val="row-content-rich-text"/>
              </w:rPr>
              <w:t xml:space="preserve">‘Special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rPr>
              <w:t xml:space="preserve">A national data development project was undertaken by the AIHW in cooperation with the Australian Government Department of Social Services and the state and territory departments responsible for adoption in 2016–17. This project explored options for collecting national data on intercountry ‘special needs’ adoptions. Based on recommendations from this development work it was determined that, due to the significant adjustment faced by intercountry adoptees, all children being placed for intercountry adoption have some degree of ‘special needs’. Contributing factors include language, cultural and other ethnic differences between the adoptees and their adoptive family’s countries of origin, as well as the likelihood of difficulties associated with sustained periods of institutional care and a complex early start to life. A suitable approach to defining ‘special needs’ would be one that was based on a child’s level of need within the adoption context. Under this approach all adopted children are considered to have varying degrees of ‘special needs’. Thus, a definition of ‘special needs’ within the adoption context should not seek to categorise certain children as ‘special needs’ (for example according to age, health status or care experience). Instead, an appropriate definition would focus on the level and type of support that children within the adoption system require to meet their needs.</w:t>
            </w:r>
          </w:p>
          <w:p>
            <w:pPr>
              <w:spacing w:after="160"/>
            </w:pPr>
            <w:r>
              <w:rPr>
                <w:rStyle w:val="row-content-rich-text"/>
              </w:rPr>
              <w:t xml:space="preserve">National definitions, technical specifications and collection tables were drafted as part of this work, and a field test of these data was conducted as part of the 2016–17 national collection. However, complexities in consistently classifying the level of need of adoptees both within jurisdiction and across jurisdictions make these data currently unsuitable for reporting. These data would help to further describe the population of children in need of adoption, inform prospective adoptive parents, and provide an indication of the types of supports required before and after adoption. Work will continue in 2017–18 to improve the national consistency of these data and move towards having reportable national data.</w:t>
            </w:r>
          </w:p>
          <w:p>
            <w:pPr>
              <w:pStyle w:val="Heading4"/>
            </w:pPr>
            <w:r>
              <w:rPr>
                <w:rStyle w:val="row-content-rich-text"/>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w:t>
            </w:r>
          </w:p>
          <w:p>
            <w:pPr>
              <w:spacing w:after="160"/>
            </w:pPr>
            <w:r>
              <w:rPr>
                <w:rStyle w:val="row-content-rich-text"/>
              </w:rPr>
              <w:t xml:space="preserve">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United Kingdom House of Lords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pStyle w:val="Heading4"/>
            </w:pPr>
            <w:r>
              <w:rPr>
                <w:rStyle w:val="row-content-rich-text"/>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1ea331c2374bd6">
              <w:r>
                <w:rPr>
                  <w:rStyle w:val="Hyperlink"/>
                </w:rPr>
                <w:t xml:space="preserve">Adoptions Australia Data Quality Statement 2015–16</w:t>
              </w:r>
            </w:hyperlink>
          </w:p>
          <w:p>
            <w:pPr>
              <w:spacing w:before="0" w:after="0"/>
            </w:pPr>
            <w:r>
              <w:rPr>
                <w:rStyle w:val="row-content"/>
                <w:color w:val="244061"/>
              </w:rPr>
              <w:t xml:space="preserve">       </w:t>
            </w:r>
            <w:hyperlink w:history="true" r:id="Rd4f6f863d19940ab">
              <w:r>
                <w:rPr>
                  <w:rStyle w:val="Hyperlink"/>
                  <w:color w:val="244061"/>
                </w:rPr>
                <w:t xml:space="preserve">AIHW Data Quality Statements</w:t>
              </w:r>
            </w:hyperlink>
            <w:r>
              <w:rPr>
                <w:rStyle w:val="row-content"/>
                <w:color w:val="244061"/>
              </w:rPr>
              <w:t xml:space="preserve">, Superseded 13/12/2017</w:t>
            </w:r>
          </w:p>
          <w:p>
            <w:r>
              <w:br/>
            </w:r>
            <w:r>
              <w:rPr>
                <w:rStyle w:val="row-content"/>
              </w:rPr>
              <w:t xml:space="preserve">Has been superseded by </w:t>
            </w:r>
            <w:hyperlink w:history="true" r:id="R862cce6d6e414a37">
              <w:r>
                <w:rPr>
                  <w:rStyle w:val="Hyperlink"/>
                </w:rPr>
                <w:t xml:space="preserve">Adoptions Australia 2017–18; Quality Statement </w:t>
              </w:r>
            </w:hyperlink>
          </w:p>
          <w:p>
            <w:pPr>
              <w:spacing w:before="0" w:after="0"/>
            </w:pPr>
            <w:r>
              <w:rPr>
                <w:rStyle w:val="row-content"/>
                <w:color w:val="244061"/>
              </w:rPr>
              <w:t xml:space="preserve">       </w:t>
            </w:r>
            <w:hyperlink w:history="true" r:id="R47b04cf66a6048ba">
              <w:r>
                <w:rPr>
                  <w:rStyle w:val="Hyperlink"/>
                  <w:color w:val="244061"/>
                </w:rPr>
                <w:t xml:space="preserve">AIHW Data Quality Statements</w:t>
              </w:r>
            </w:hyperlink>
            <w:r>
              <w:rPr>
                <w:rStyle w:val="row-content"/>
                <w:color w:val="244061"/>
              </w:rPr>
              <w:t xml:space="preserve">, Superseded 13/12/2019</w:t>
            </w:r>
          </w:p>
          <w:p>
            <w:r>
              <w:br/>
            </w:r>
          </w:p>
        </w:tc>
      </w:tr>
    </w:tbl>
    <w:p>
      <w:r>
        <w:br/>
      </w:r>
    </w:p>
    <w:sectPr>
      <w:footerReference xmlns:r="http://schemas.openxmlformats.org/officeDocument/2006/relationships" w:type="default" r:id="Rccfc82fe29eb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fad37865a64c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c82fe29eb481e" /><Relationship Type="http://schemas.openxmlformats.org/officeDocument/2006/relationships/header" Target="/word/header1.xml" Id="Re6439bdbc1584956" /><Relationship Type="http://schemas.openxmlformats.org/officeDocument/2006/relationships/settings" Target="/word/settings.xml" Id="Rfc019c3b5b3c4f5b" /><Relationship Type="http://schemas.openxmlformats.org/officeDocument/2006/relationships/styles" Target="/word/styles.xml" Id="Re1d57fc74fd542cd" /><Relationship Type="http://schemas.openxmlformats.org/officeDocument/2006/relationships/hyperlink" Target="https://meteor.aihw.gov.au/RegistrationAuthority/5" TargetMode="External" Id="R093ce36266b2436b" /><Relationship Type="http://schemas.openxmlformats.org/officeDocument/2006/relationships/numbering" Target="/word/numbering.xml" Id="R2f484941e31b4e64" /><Relationship Type="http://schemas.openxmlformats.org/officeDocument/2006/relationships/hyperlink" Target="http://www.aihw.gov.au" TargetMode="External" Id="Rf57154b807844cd2" /><Relationship Type="http://schemas.openxmlformats.org/officeDocument/2006/relationships/hyperlink" Target="http://www.aihw.gov.au" TargetMode="External" Id="R7aa208284536445c" /><Relationship Type="http://schemas.openxmlformats.org/officeDocument/2006/relationships/hyperlink" Target="mailto:info@aihw.gov.au" TargetMode="External" Id="R31c4fd24ddd047e2" /><Relationship Type="http://schemas.openxmlformats.org/officeDocument/2006/relationships/hyperlink" Target="mailto:info@aihw.gov.au" TargetMode="External" Id="Rab814ea730054cdc" /><Relationship Type="http://schemas.openxmlformats.org/officeDocument/2006/relationships/hyperlink" Target="https://meteor.aihw.gov.au/content/659866" TargetMode="External" Id="Rb41ea331c2374bd6" /><Relationship Type="http://schemas.openxmlformats.org/officeDocument/2006/relationships/hyperlink" Target="https://meteor.aihw.gov.au/RegistrationAuthority/5" TargetMode="External" Id="Rd4f6f863d19940ab" /><Relationship Type="http://schemas.openxmlformats.org/officeDocument/2006/relationships/hyperlink" Target="https://meteor.aihw.gov.au/content/707571" TargetMode="External" Id="R862cce6d6e414a37" /><Relationship Type="http://schemas.openxmlformats.org/officeDocument/2006/relationships/hyperlink" Target="https://meteor.aihw.gov.au/RegistrationAuthority/5" TargetMode="External" Id="R47b04cf66a6048ba" /></Relationships>
</file>

<file path=word/_rels/header1.xml.rels>&#65279;<?xml version="1.0" encoding="utf-8"?><Relationships xmlns="http://schemas.openxmlformats.org/package/2006/relationships"><Relationship Type="http://schemas.openxmlformats.org/officeDocument/2006/relationships/image" Target="/media/image.png" Id="R37fad37865a64c96" /></Relationships>
</file>