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49d5b19f8e487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NBEDS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NBEDS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686603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477afbc7ed4ccc">
              <w:r>
                <w:rPr>
                  <w:rStyle w:val="Hyperlink"/>
                  <w:color w:val="244061"/>
                </w:rPr>
                <w:t xml:space="preserve">Health</w:t>
              </w:r>
            </w:hyperlink>
            <w:r>
              <w:rPr>
                <w:rStyle w:val="row-content"/>
                <w:color w:val="244061"/>
              </w:rPr>
              <w:t xml:space="preserve">, Superseded 06/09/2018</w:t>
            </w:r>
          </w:p>
          <w:p>
            <w:pPr>
              <w:spacing w:before="0" w:after="0"/>
            </w:pPr>
            <w:hyperlink w:history="true" r:id="R49e4141e62754695">
              <w:r>
                <w:rPr>
                  <w:rStyle w:val="Hyperlink"/>
                  <w:color w:val="244061"/>
                </w:rPr>
                <w:t xml:space="preserve">Indigenous</w:t>
              </w:r>
            </w:hyperlink>
            <w:r>
              <w:rPr>
                <w:rStyle w:val="row-content"/>
                <w:color w:val="244061"/>
              </w:rPr>
              <w:t xml:space="preserve">, Superseded 22/10/2018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primary health care National best endeavours data set (IPHC NBEDS) is primarily designed to support the collection of aggregate information from Indigenous-specific primary health-care services. The IPHC NBEDS describes the aggregate data to be reported by those Indigenous-specific primary health-care services. Only the data, which services aggregate using cohort definitions and specialised software, will be supplied through the OATSIH Community Health Reporting Environment (OCHRE), a web-based reporting tool. No individual level client data will be supplied to either the Australian Institute of Health and Welfare (AIHW) or the Australian Government Department of Health.</w:t>
            </w:r>
          </w:p>
          <w:p>
            <w:pPr>
              <w:spacing w:after="160"/>
            </w:pPr>
            <w:r>
              <w:rPr>
                <w:rStyle w:val="row-content-rich-text"/>
              </w:rPr>
              <w:t xml:space="preserve">For the purposes of the IPHC NBEDS, Aboriginal and Torres Strait Islander primary health care is defined as:</w:t>
            </w:r>
          </w:p>
          <w:p>
            <w:pPr>
              <w:spacing w:after="160"/>
            </w:pPr>
            <w:r>
              <w:rPr>
                <w:rStyle w:val="row-content-rich-text"/>
              </w:rPr>
              <w:t xml:space="preserve">“…socially and culturally appropriate, universally accessible, scientifically sound, first level care. It is provided by health services and systems with a suitably trained workforce comprised of multidisciplinary teams supported by integrated referral systems in a way that: gives priority to those most in need and addresses health inequalities; maximises community and individual self-reliance, participation and control and; involves collaboration and partnership with other sectors to promote public health. Comprehensive primary health care includes health promotion, illness prevention, treatment, and care of the sick, community development, advocacy, and rehabilitation services.”</w:t>
            </w:r>
          </w:p>
          <w:p>
            <w:pPr>
              <w:spacing w:after="160"/>
            </w:pPr>
            <w:r>
              <w:rPr>
                <w:rStyle w:val="row-content-rich-text"/>
              </w:rPr>
              <w:t xml:space="preserve">This definition has been endorsed by the Aboriginal Medical Services Alliance of the Northern Territory (AMSANT), the Australian General Practice Network (AGPN), the Australian Primary Health Care Research Institute (APHCRI), and the Australian Medical Association (AMA).</w:t>
            </w:r>
          </w:p>
          <w:p>
            <w:pPr>
              <w:spacing w:after="160"/>
            </w:pPr>
            <w:r>
              <w:rPr>
                <w:rStyle w:val="row-content-rich-text"/>
              </w:rPr>
              <w:t xml:space="preserve">Aboriginal and Torres Strait Islander primary health care services include:</w:t>
            </w:r>
          </w:p>
          <w:p>
            <w:pPr>
              <w:spacing w:after="160"/>
            </w:pPr>
            <w:r>
              <w:rPr>
                <w:rStyle w:val="row-content-rich-text"/>
              </w:rPr>
              <w:t xml:space="preserve">1. Aboriginal Community Controlled Health Service (ACCHS): primary health-care services initiated and operated by the local Aboriginal community to deliver holistic, comprehensive, and culturally appropriate health care to the community which controls it (through a locally elected Board of Management); and</w:t>
            </w:r>
          </w:p>
          <w:p>
            <w:pPr>
              <w:spacing w:after="160"/>
            </w:pPr>
            <w:r>
              <w:rPr>
                <w:rStyle w:val="row-content-rich-text"/>
              </w:rPr>
              <w:t xml:space="preserve">2. Other Aboriginal and Torres Strait Islander primary health-care services: health services funded principally to provide services to Aboriginal and Torres Strait Islander individuals with funding provided by the Australian Government and/or state or territory governments. These non community-controlled services mainly exist in the Northern Territory and northern part of Queensland.</w:t>
            </w:r>
          </w:p>
          <w:p>
            <w:pPr>
              <w:spacing w:after="160"/>
            </w:pPr>
            <w:r>
              <w:rPr>
                <w:rStyle w:val="row-content-rich-text"/>
              </w:rPr>
              <w:t xml:space="preserve">Services use a clinical audit tool program for extracting and aggregating data from their patient information and recall systems. The IPHC NBEDS has been written to inform this program. Once aggregated, the data will be sent to the AIHW via the OATSIH Community Health Reporting Environment (OCHRE), a web-based reporting tool with an ‘in-confidence’ security classification.</w:t>
            </w:r>
          </w:p>
          <w:p>
            <w:pPr>
              <w:spacing w:after="160"/>
            </w:pPr>
            <w:r>
              <w:rPr>
                <w:rStyle w:val="row-content-rich-text"/>
              </w:rPr>
              <w:t xml:space="preserve">The IPHC NBEDS includes aggregate data only; it does not include data elements describing any details relating to or arising from individual client visits, at the client visit level, e.g. blood pressure measurements, body mass index (BMI) values and so on.</w:t>
            </w:r>
          </w:p>
          <w:p>
            <w:pPr>
              <w:jc w:val="left"/>
            </w:pPr>
            <w:r>
              <w:rPr>
                <w:rStyle w:val="row-content-rich-text"/>
              </w:rPr>
              <w:t xml:space="preserve">Aggregate data was initially collected from a limited number of primary health-care services, i.e. those funded by the Office for Aboriginal and Torres Strait Islander Health (OATSIH) via the Healthy for Life program. From mid-2012, data collection was extended to the remainder of services funded by OATSIH to deliver primary health care. From mid-2013, data collection was expanded to also include state- and territory-funded Indigenous-specific primary health-care services not funded by OATSIH.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Each unit represents aggregated data from an individual Indigenous-specific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IPHC NBEDS describes only the aggregated data. Patient Information Referral Systems (PIRS) contain many variables related to individual clients. The Clinical Audit Tool (CAT) is programmed to extract variables determined in data elements and counting how many clients have these variables. Services will then authorise transmission of these de-individualised data extracted by CAT to AIHW through the OCHRE web-based tool.</w:t>
            </w:r>
          </w:p>
          <w:p>
            <w:pPr>
              <w:spacing w:after="160"/>
            </w:pPr>
            <w:r>
              <w:rPr>
                <w:rStyle w:val="row-content-rich-text"/>
              </w:rPr>
              <w:t xml:space="preserve">The regular client status of a client will be determined by the service on the PIRS and will need to be reviewed on a twice-yearly basis.</w:t>
            </w:r>
          </w:p>
          <w:p>
            <w:pPr>
              <w:spacing w:after="160"/>
            </w:pPr>
            <w:r>
              <w:rPr>
                <w:rStyle w:val="row-content-rich-text"/>
                <w:b/>
              </w:rPr>
              <w:t xml:space="preserve">National reporting arrangements</w:t>
            </w:r>
          </w:p>
          <w:p>
            <w:pPr>
              <w:spacing w:after="160"/>
            </w:pPr>
            <w:r>
              <w:rPr>
                <w:rStyle w:val="row-content-rich-text"/>
              </w:rPr>
              <w:t xml:space="preserve">Each service funded to provide Indigenous-specific primary health care should record service provision in clinical information management systems that allow the electronic transmission of data for reporting.</w:t>
            </w:r>
          </w:p>
          <w:p>
            <w:pPr>
              <w:spacing w:after="160"/>
            </w:pPr>
            <w:r>
              <w:rPr>
                <w:rStyle w:val="row-content-rich-text"/>
                <w:b/>
              </w:rPr>
              <w:t xml:space="preserve">Periods for which data are collected and nationally collated</w:t>
            </w:r>
          </w:p>
          <w:p>
            <w:pPr/>
            <w:r>
              <w:rPr>
                <w:rStyle w:val="row-content-rich-text"/>
              </w:rPr>
              <w:t xml:space="preserve">Data collections and data reporting will be on a 6-monthly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Pen Computer Systems, 2009. Clinical Audit Tool - User Guide, Pen Computer Systems Pty Ltd, Sydney.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bedd80476df462f">
              <w:r>
                <w:rPr>
                  <w:rStyle w:val="Hyperlink"/>
                </w:rPr>
                <w:t xml:space="preserve">Indigenous primary health care DSS 2015-17</w:t>
              </w:r>
            </w:hyperlink>
          </w:p>
          <w:p>
            <w:pPr>
              <w:spacing w:before="0" w:after="0"/>
            </w:pPr>
            <w:r>
              <w:rPr>
                <w:rStyle w:val="row-content"/>
                <w:color w:val="244061"/>
              </w:rPr>
              <w:t xml:space="preserve">       </w:t>
            </w:r>
            <w:hyperlink w:history="true" r:id="Rc6d3f2961076471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2dee5eb18b74ed9">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c3515afd4cd143c2">
              <w:r>
                <w:rPr>
                  <w:rStyle w:val="Hyperlink"/>
                </w:rPr>
                <w:t xml:space="preserve">Indigenous primary health care NBEDS 2018–19</w:t>
              </w:r>
            </w:hyperlink>
          </w:p>
          <w:p>
            <w:pPr>
              <w:spacing w:before="0" w:after="0"/>
            </w:pPr>
            <w:r>
              <w:rPr>
                <w:rStyle w:val="row-content"/>
                <w:color w:val="244061"/>
              </w:rPr>
              <w:t xml:space="preserve">       </w:t>
            </w:r>
            <w:hyperlink w:history="true" r:id="R2afb1d53627e4959">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868290ebeb1145a3">
              <w:r>
                <w:rPr>
                  <w:rStyle w:val="Hyperlink"/>
                  <w:color w:val="244061"/>
                </w:rPr>
                <w:t xml:space="preserve">Indigenous</w:t>
              </w:r>
            </w:hyperlink>
            <w:r>
              <w:rPr>
                <w:rStyle w:val="row-content"/>
                <w:color w:val="244061"/>
              </w:rPr>
              <w:t xml:space="preserve">, Superseded 02/04/2019</w:t>
            </w:r>
          </w:p>
          <w:p>
            <w:r>
              <w:br/>
            </w:r>
            <w:r>
              <w:rPr>
                <w:rStyle w:val="row-content"/>
              </w:rPr>
              <w:t xml:space="preserve">See also </w:t>
            </w:r>
            <w:hyperlink w:history="true" r:id="Rd7ab4cac47f04403">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7e8c0272e69c460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f8ca7f1d12a4ab8">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5731f30f657c48a0">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6375ac161702493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aa00821183648a1">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15d1a409394b73">
                    <w:r>
                      <w:rPr>
                        <w:rStyle w:val="Hyperlink"/>
                      </w:rPr>
                      <w:t xml:space="preserve">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d45cdd98014fdb">
                    <w:r>
                      <w:rPr>
                        <w:rStyle w:val="Hyperlink"/>
                      </w:rPr>
                      <w:t xml:space="preserve">Address—address site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1cab9f4a5f466d">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dd6510baca488b">
                    <w:r>
                      <w:rPr>
                        <w:rStyle w:val="Hyperlink"/>
                      </w:rPr>
                      <w:t xml:space="preserve">Address—electronic communication medium,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f6b617ea624933">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2cd1863d6f431a">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5b3ec0664240e6">
                    <w:r>
                      <w:rPr>
                        <w:rStyle w:val="Hyperlink"/>
                      </w:rPr>
                      <w:t xml:space="preserve">Address—sub-dwelling unit number, identifier X[X(6)]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a0f6ec90794e7c">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5e9c0870944877">
                    <w:r>
                      <w:rPr>
                        <w:rStyle w:val="Hyperlink"/>
                      </w:rPr>
                      <w:t xml:space="preserve">Birth event—birth plurality,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70e26723a64a55">
                    <w:r>
                      <w:rPr>
                        <w:rStyle w:val="Hyperlink"/>
                      </w:rPr>
                      <w:t xml:space="preserve">Birth—birth status, code N</w:t>
                    </w:r>
                  </w:hyperlink>
                </w:p>
                <w:p>
                  <w:r>
                    <w:rPr>
                      <w:b/>
                      <w:i/>
                      <w:color w:val="333333"/>
                    </w:rPr>
                    <w:t xml:space="preserve">DSS specific information: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162a8250fd45a3">
                    <w:r>
                      <w:rPr>
                        <w:rStyle w:val="Hyperlink"/>
                      </w:rPr>
                      <w:t xml:space="preserve">Birth—birth weight, code N</w:t>
                    </w:r>
                  </w:hyperlink>
                </w:p>
                <w:p>
                  <w:r>
                    <w:rPr>
                      <w:b/>
                      <w:i/>
                      <w:color w:val="333333"/>
                    </w:rPr>
                    <w:t xml:space="preserve">DSS specific information:</w:t>
                  </w:r>
                </w:p>
                <w:p>
                  <w:r>
                    <w:t xml:space="preserve">In the Indigenous primary health care NBEDS, birth weight is defined as the first weight of a baby obtained after birth. The birth weight is that which is recorded as birth weight by services on their Patient Information Referral Systems (PIRS). The date of admission is not relevant for this NBEDS.</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2f702fa3da4df7">
                    <w:r>
                      <w:rPr>
                        <w:rStyle w:val="Hyperlink"/>
                      </w:rPr>
                      <w:t xml:space="preserve">Child—fully immunised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dc66fc0e864638">
                    <w:r>
                      <w:rPr>
                        <w:rStyle w:val="Hyperlink"/>
                      </w:rPr>
                      <w:t xml:space="preserve">Female—cervical screening indicator, yes/no/not stated/inadequately described code N</w:t>
                    </w:r>
                  </w:hyperlink>
                </w:p>
                <w:p>
                  <w:r>
                    <w:rPr>
                      <w:b/>
                      <w:i/>
                      <w:color w:val="333333"/>
                    </w:rPr>
                    <w:t xml:space="preserve">DSS specific information:</w:t>
                  </w:r>
                </w:p>
                <w:p>
                  <w:r>
                    <w:t xml:space="preserve">In the Indigenous primary health care NBEDS, this data element will be applied up to 3 times to calculate the number of women who have had a cervical screening within the last 2 years, the last 3 years and the last 5 years. This data element will firstly be used to calculate the number of women who answered 'yes' to having had a cervical screening within the last 5 years. From this data, the data element will be used again but will collect data on the number of women who had a cervical screening within the last 3 years. Finally, the data element will be applied again but will calculate the number of women who had a cervical screening within the last 2 years.</w:t>
                  </w:r>
                </w:p>
                <w:p>
                  <w:r>
                    <w:t xml:space="preserve">This item is only collected if the respondent is female and aged 25 to 74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74d37164524b62">
                    <w:r>
                      <w:rPr>
                        <w:rStyle w:val="Hyperlink"/>
                      </w:rPr>
                      <w:t xml:space="preserve">Female—hysterectomy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28701205414a4c">
                    <w:r>
                      <w:rPr>
                        <w:rStyle w:val="Hyperlink"/>
                      </w:rPr>
                      <w:t xml:space="preserve">Organisation—name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9afb2e02a14379">
                    <w:r>
                      <w:rPr>
                        <w:rStyle w:val="Hyperlink"/>
                      </w:rPr>
                      <w:t xml:space="preserve">Organisation—organisation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9e3a62149349fc">
                    <w:r>
                      <w:rPr>
                        <w:rStyle w:val="Hyperlink"/>
                      </w:rPr>
                      <w:t xml:space="preserve">Person—absolute cardiovascular disease risk assessment result categories, code N</w:t>
                    </w:r>
                  </w:hyperlink>
                </w:p>
                <w:p>
                  <w:r>
                    <w:rPr>
                      <w:b/>
                      <w:i/>
                      <w:color w:val="333333"/>
                    </w:rPr>
                    <w:t xml:space="preserve">Conditional obligation:</w:t>
                  </w:r>
                </w:p>
                <w:p>
                  <w:r>
                    <w:t xml:space="preserve">Reporting of this data element is conditional on a 'yes' answer to 'Person—absolute cardiovascular disease risk assessment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027e56d6d6458b">
                    <w:r>
                      <w:rPr>
                        <w:rStyle w:val="Hyperlink"/>
                      </w:rPr>
                      <w:t xml:space="preserve">Person—absolute cardiovascular disease risk assessment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2009952d584ed8">
                    <w:r>
                      <w:rPr>
                        <w:rStyle w:val="Hyperlink"/>
                      </w:rPr>
                      <w:t xml:space="preserve">Person—age, total years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53749ef75e46bc">
                    <w:r>
                      <w:rPr>
                        <w:rStyle w:val="Hyperlink"/>
                      </w:rPr>
                      <w:t xml:space="preserve">Person—albumin/creatinine ratio (ACR) result,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879010bb194832">
                    <w:r>
                      <w:rPr>
                        <w:rStyle w:val="Hyperlink"/>
                      </w:rPr>
                      <w:t xml:space="preserve">Person—alcohol consumption status recorded indicator, yes/no code N</w:t>
                    </w:r>
                  </w:hyperlink>
                </w:p>
                <w:p>
                  <w:r>
                    <w:rPr>
                      <w:b/>
                      <w:i/>
                      <w:color w:val="333333"/>
                    </w:rPr>
                    <w:t xml:space="preserve">Conditional obligation:</w:t>
                  </w:r>
                </w:p>
                <w:p>
                  <w:r>
                    <w:t xml:space="preserve">This item is only collected for persons aged 15 and older.</w:t>
                  </w:r>
                </w:p>
                <w:p>
                  <w:r>
                    <w:rPr>
                      <w:b/>
                      <w:i/>
                      <w:color w:val="333333"/>
                    </w:rPr>
                    <w:t xml:space="preserve">DSS specific information:</w:t>
                  </w:r>
                </w:p>
                <w:p>
                  <w:r>
                    <w:t xml:space="preserve">Alcohol consumption status has been recorded if the health service has either:</w:t>
                  </w:r>
                </w:p>
                <w:p>
                  <w:r>
                    <w:t xml:space="preserve">a) a record of whether the client consumes alcohol, or</w:t>
                  </w:r>
                </w:p>
                <w:p>
                  <w:r>
                    <w:t xml:space="preserve">b) a record specifying the amount and frequency of the client's alcohol consumption.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0567fd29ca45de">
                    <w:r>
                      <w:rPr>
                        <w:rStyle w:val="Hyperlink"/>
                      </w:rPr>
                      <w:t xml:space="preserve">Person—AUDIT-C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f46a75e489453f">
                    <w:r>
                      <w:rPr>
                        <w:rStyle w:val="Hyperlink"/>
                      </w:rPr>
                      <w:t xml:space="preserve">Person—AUDIT-C result, code N</w:t>
                    </w:r>
                  </w:hyperlink>
                </w:p>
                <w:p>
                  <w:r>
                    <w:rPr>
                      <w:b/>
                      <w:i/>
                      <w:color w:val="333333"/>
                    </w:rPr>
                    <w:t xml:space="preserve">Conditional obligation:</w:t>
                  </w:r>
                </w:p>
                <w:p>
                  <w:r>
                    <w:t xml:space="preserve">Reporting of this data element is conditional on a 'yes' answer to 'Person—AUDIT-C result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33e8d2555a4292">
                    <w:r>
                      <w:rPr>
                        <w:rStyle w:val="Hyperlink"/>
                      </w:rPr>
                      <w:t xml:space="preserve">Person—birth weight recorded indicator, yes/no code N</w:t>
                    </w:r>
                  </w:hyperlink>
                </w:p>
                <w:p>
                  <w:r>
                    <w:rPr>
                      <w:b/>
                      <w:i/>
                      <w:color w:val="333333"/>
                    </w:rPr>
                    <w:t xml:space="preserve">Conditional obligation:</w:t>
                  </w:r>
                </w:p>
                <w:p>
                  <w:r>
                    <w:t xml:space="preserve">This item is only collected for infants born during the preceding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89e184a5b94617">
                    <w:r>
                      <w:rPr>
                        <w:rStyle w:val="Hyperlink"/>
                      </w:rPr>
                      <w:t xml:space="preserve">Person—blood pressure measurement result less than or equal to 130/80 mmHg indicator, yes/no code N</w:t>
                    </w:r>
                  </w:hyperlink>
                </w:p>
                <w:p>
                  <w:r>
                    <w:rPr>
                      <w:b/>
                      <w:i/>
                      <w:color w:val="333333"/>
                    </w:rPr>
                    <w:t xml:space="preserve">Conditional obligation:</w:t>
                  </w:r>
                </w:p>
                <w:p>
                  <w:r>
                    <w:t xml:space="preserve">This data element is conditional on a person having both:</w:t>
                  </w:r>
                </w:p>
                <w:p>
                  <w:r>
                    <w:t xml:space="preserve">a) Type II diabetes, and</w:t>
                  </w:r>
                </w:p>
                <w:p>
                  <w:r>
                    <w:t xml:space="preserve">b) a blood pressure measurement result recorded within the previous 6 months.</w:t>
                  </w:r>
                </w:p>
                <w:p>
                  <w:r>
                    <w:rPr>
                      <w:b/>
                      <w:i/>
                      <w:color w:val="333333"/>
                    </w:rPr>
                    <w:t xml:space="preserve">DSS specific information:</w:t>
                  </w:r>
                </w:p>
                <w:p>
                  <w:r>
                    <w:t xml:space="preserve">The client does not have a blood pressure measurement of less than or equal to 130/180 mmHg if either the systolic or diastolic reading is above the threshold (130 and 80 respectively).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f5dc6fc54b4994">
                    <w:r>
                      <w:rPr>
                        <w:rStyle w:val="Hyperlink"/>
                      </w:rPr>
                      <w:t xml:space="preserve">Person—blood pressure measurement result recorded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bb08a417b2a439d">
                    <w:r>
                      <w:rPr>
                        <w:rStyle w:val="Hyperlink"/>
                      </w:rPr>
                      <w:t xml:space="preserve">Person—body mass index (classification), code N{.N}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d148d957794b9c">
                    <w:r>
                      <w:rPr>
                        <w:rStyle w:val="Hyperlink"/>
                      </w:rPr>
                      <w:t xml:space="preserve">Person—body mass index recorded indicator, yes/no code N</w:t>
                    </w:r>
                  </w:hyperlink>
                </w:p>
                <w:p>
                  <w:r>
                    <w:rPr>
                      <w:b/>
                      <w:i/>
                      <w:color w:val="333333"/>
                    </w:rPr>
                    <w:t xml:space="preserve">Conditional obligation:</w:t>
                  </w:r>
                </w:p>
                <w:p>
                  <w:r>
                    <w:t xml:space="preserve">This item is only collected for persons aged 25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d628a1e56d4688">
                    <w:r>
                      <w:rPr>
                        <w:rStyle w:val="Hyperlink"/>
                      </w:rPr>
                      <w:t xml:space="preserve">Person—cardiovascular disease recorded indicator, yes/no code N</w:t>
                    </w:r>
                  </w:hyperlink>
                </w:p>
                <w:p>
                  <w:r>
                    <w:rPr>
                      <w:b/>
                      <w:i/>
                      <w:color w:val="333333"/>
                    </w:rPr>
                    <w:t xml:space="preserve">DSS specific information:</w:t>
                  </w:r>
                </w:p>
                <w:p>
                  <w: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c33f8c4afc8f4d0c">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576b72bb1a4762">
                    <w:r>
                      <w:rPr>
                        <w:rStyle w:val="Hyperlink"/>
                      </w:rPr>
                      <w:t xml:space="preserve">Person—chronic obstructive pulmonary disease recorded indicator, yes/no code N</w:t>
                    </w:r>
                  </w:hyperlink>
                </w:p>
                <w:p>
                  <w:r>
                    <w:rPr>
                      <w:b/>
                      <w:i/>
                      <w:color w:val="333333"/>
                    </w:rPr>
                    <w:t xml:space="preserve">DSS specific information:</w:t>
                  </w:r>
                </w:p>
                <w:p>
                  <w:r>
                    <w:t xml:space="preserve">In the Indigenous primary health care NBEDS, a person has a chronic obstructive pulmonary disease recorded if, on their clinical record, the service has recorded a condition or condition code that is considered to be a type of chronic obstructive pulmonary disease. The relevant conditions and condition codes that each PIRS system considers to be a type of chronic obstructive pulmonary disease are listed here:</w:t>
                  </w:r>
                </w:p>
                <w:p>
                  <w:hyperlink w:history="true" r:id="R89db0a13e6724bfd">
                    <w:r>
                      <w:rPr>
                        <w:rStyle w:val="Hyperlink"/>
                      </w:rPr>
                      <w:t xml:space="preserve">http://help.pencs.com.au/cat.htm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1a2ebccdc24b69">
                    <w:r>
                      <w:rPr>
                        <w:rStyle w:val="Hyperlink"/>
                      </w:rPr>
                      <w:t xml:space="preserve">Person—diabetes mellitus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e039545271b4ea6">
                    <w:r>
                      <w:rPr>
                        <w:rStyle w:val="Hyperlink"/>
                      </w:rPr>
                      <w:t xml:space="preserve">Person—estimated glomerular filtration rate (eGFR)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5a39de84bf4fcd">
                    <w:r>
                      <w:rPr>
                        <w:rStyle w:val="Hyperlink"/>
                      </w:rPr>
                      <w:t xml:space="preserve">Person—estimated glomerular filtration rate (eGFR) result, code N[A]</w:t>
                    </w:r>
                  </w:hyperlink>
                </w:p>
                <w:p>
                  <w:r>
                    <w:rPr>
                      <w:b/>
                      <w:i/>
                      <w:color w:val="333333"/>
                    </w:rPr>
                    <w:t xml:space="preserve">Conditional obligation:</w:t>
                  </w:r>
                </w:p>
                <w:p>
                  <w:r>
                    <w:t xml:space="preserve">Reporting of this data element is conditional on a 'yes' answer to 'Person—estimated glomerular filtration rate (eGFR)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bc612a27f74037">
                    <w:r>
                      <w:rPr>
                        <w:rStyle w:val="Hyperlink"/>
                      </w:rPr>
                      <w:t xml:space="preserve">Person—glycosylated haemoglobin level, code N</w:t>
                    </w:r>
                  </w:hyperlink>
                </w:p>
                <w:p>
                  <w:r>
                    <w:rPr>
                      <w:b/>
                      <w:i/>
                      <w:color w:val="333333"/>
                    </w:rPr>
                    <w:t xml:space="preserve">Conditional obligation:</w:t>
                  </w:r>
                </w:p>
                <w:p>
                  <w:r>
                    <w:t xml:space="preserve">Conditional on having had a glycosylated haemoglobin measurement result recorded within the previous 6 months or within the previous 12 months.</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relates to glycosylated haemoglobin measurement results recorded within the previous 6 months and within the previous 12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150a2470b2494b">
                    <w:r>
                      <w:rPr>
                        <w:rStyle w:val="Hyperlink"/>
                      </w:rPr>
                      <w:t xml:space="preserve">Person—glycosylated haemoglobin measurement result recorded indicator, yes/no code N</w:t>
                    </w:r>
                  </w:hyperlink>
                </w:p>
                <w:p>
                  <w:r>
                    <w:rPr>
                      <w:b/>
                      <w:i/>
                      <w:color w:val="333333"/>
                    </w:rPr>
                    <w:t xml:space="preserve">Conditional obligation:</w:t>
                  </w:r>
                </w:p>
                <w:p>
                  <w:r>
                    <w:t xml:space="preserve">This item is only collected for persons who have Type II diabetes.</w:t>
                  </w:r>
                </w:p>
                <w:p>
                  <w:r>
                    <w:rPr>
                      <w:b/>
                      <w:i/>
                      <w:color w:val="333333"/>
                    </w:rPr>
                    <w:t xml:space="preserve">DSS specific information:</w:t>
                  </w:r>
                </w:p>
                <w:p>
                  <w:r>
                    <w:t xml:space="preserve">In the Indigenous primary health care NBEDS, this data element is collected once for glycosylated haemoglobin measurement results recorded in the previous 6 months, and again for glycosylated haemoglobin measurement results recorded in the previous 12 months.</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9209fa3c1f4ab2">
                    <w:r>
                      <w:rPr>
                        <w:rStyle w:val="Hyperlink"/>
                      </w:rPr>
                      <w:t xml:space="preserve">Person—GP Management Plan (MBS Item 721)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a972a96c634421">
                    <w:r>
                      <w:rPr>
                        <w:rStyle w:val="Hyperlink"/>
                      </w:rPr>
                      <w:t xml:space="preserve">Person—HDL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bf458840ea4ae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787939f75c4fdc">
                    <w:r>
                      <w:rPr>
                        <w:rStyle w:val="Hyperlink"/>
                      </w:rPr>
                      <w:t xml:space="preserve">Person—influenza immunisation indicator, yes/no code N</w:t>
                    </w:r>
                  </w:hyperlink>
                </w:p>
                <w:p>
                  <w:r>
                    <w:rPr>
                      <w:b/>
                      <w:i/>
                      <w:color w:val="333333"/>
                    </w:rPr>
                    <w:t xml:space="preserve">Conditional obligation:</w:t>
                  </w:r>
                </w:p>
                <w:p>
                  <w:r>
                    <w:t xml:space="preserve">This item is only collected for persons aged 50 and over.</w:t>
                  </w:r>
                </w:p>
                <w:p>
                  <w:r>
                    <w:rPr>
                      <w:b/>
                      <w:i/>
                      <w:color w:val="333333"/>
                    </w:rPr>
                    <w:t xml:space="preserve">DSS specific information:</w:t>
                  </w:r>
                </w:p>
                <w:p>
                  <w:r>
                    <w:t xml:space="preserve">In the Indigenous primary health care NBEDS, an Indigenous person aged 50 and over is recorded as immunised against influenza if they have received an influenza vaccine in the previous year.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dadbea5c74409c">
                    <w:r>
                      <w:rPr>
                        <w:rStyle w:val="Hyperlink"/>
                      </w:rPr>
                      <w:t xml:space="preserve">Person—MBS Health Assessment for Aboriginal and Torres Strait Islander People (MBS Item 715) indicator, yes/no code N</w:t>
                    </w:r>
                  </w:hyperlink>
                </w:p>
                <w:p>
                  <w:r>
                    <w:rPr>
                      <w:b/>
                      <w:i/>
                      <w:color w:val="333333"/>
                    </w:rPr>
                    <w:t xml:space="preserve">Conditional obligation:</w:t>
                  </w:r>
                </w:p>
                <w:p>
                  <w:r>
                    <w:t xml:space="preserve">This item is only collected for persons aged 0-4 years, and persons aged 25 and over.</w:t>
                  </w:r>
                </w:p>
                <w:p>
                  <w:r>
                    <w:rPr>
                      <w:b/>
                      <w:i/>
                      <w:color w:val="333333"/>
                    </w:rPr>
                    <w:t xml:space="preserve">DSS specific information:</w:t>
                  </w:r>
                </w:p>
                <w:p>
                  <w: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0d1e0f3f4e4aa2">
                    <w:r>
                      <w:rPr>
                        <w:rStyle w:val="Hyperlink"/>
                      </w:rPr>
                      <w:t xml:space="preserve">Person—microalbumin urine test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479bc2d1944405">
                    <w:r>
                      <w:rPr>
                        <w:rStyle w:val="Hyperlink"/>
                      </w:rPr>
                      <w:t xml:space="preserve">Person—regular client indicator, yes/no code N</w:t>
                    </w:r>
                  </w:hyperlink>
                </w:p>
                <w:p>
                  <w:r>
                    <w:rPr>
                      <w:b/>
                      <w:i/>
                      <w:color w:val="333333"/>
                    </w:rPr>
                    <w:t xml:space="preserve">DSS specific information:</w:t>
                  </w:r>
                </w:p>
                <w:p>
                  <w:r>
                    <w:t xml:space="preserve">In the Indigenous primary health care NBEDS, a regular client is someone who has 'an active medical record'. According to the Royal Australian College of General Practitioners (RACGP), an active medical record 'is a record of a patient who has attended the practice 3 or more times in the last two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0cc1d374344761">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7d0f26fb9e49f1">
                    <w:r>
                      <w:rPr>
                        <w:rStyle w:val="Hyperlink"/>
                      </w:rPr>
                      <w:t xml:space="preserve">Person—smoking status recorded indicator, yes/no code N</w:t>
                    </w:r>
                  </w:hyperlink>
                </w:p>
                <w:p>
                  <w:r>
                    <w:rPr>
                      <w:b/>
                      <w:i/>
                      <w:color w:val="333333"/>
                    </w:rPr>
                    <w:t xml:space="preserve">Conditional obligation:</w:t>
                  </w:r>
                </w:p>
                <w:p>
                  <w:r>
                    <w:t xml:space="preserve">This item is only collected for persons aged 15 and older.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f1c6cf5cc546e0">
                    <w:r>
                      <w:rPr>
                        <w:rStyle w:val="Hyperlink"/>
                      </w:rPr>
                      <w:t xml:space="preserve">Person—systolic blood pressure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d682045c3940b7">
                    <w:r>
                      <w:rPr>
                        <w:rStyle w:val="Hyperlink"/>
                      </w:rPr>
                      <w:t xml:space="preserve">Person—Team Care Arrangement (MBS Item 723) indicator, yes/no code N</w:t>
                    </w:r>
                  </w:hyperlink>
                </w:p>
                <w:p>
                  <w:r>
                    <w:rPr>
                      <w:b/>
                      <w:i/>
                      <w:color w:val="333333"/>
                    </w:rPr>
                    <w:t xml:space="preserve">Conditional obligation:</w:t>
                  </w:r>
                </w:p>
                <w:p>
                  <w:r>
                    <w:t xml:space="preserve">This item is only collected for persons who have Type II diabetes.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4521c201e0471c">
                    <w:r>
                      <w:rPr>
                        <w:rStyle w:val="Hyperlink"/>
                      </w:rPr>
                      <w:t xml:space="preserve">Person—tobacco smoking status, code N</w:t>
                    </w:r>
                  </w:hyperlink>
                </w:p>
                <w:p>
                  <w:r>
                    <w:rPr>
                      <w:b/>
                      <w:i/>
                      <w:color w:val="333333"/>
                    </w:rPr>
                    <w:t xml:space="preserve">Conditional obligation:</w:t>
                  </w:r>
                </w:p>
                <w:p>
                  <w:r>
                    <w:t xml:space="preserve">Reporting of this data element is conditional on a 'yes' answer to 'Person—smoking status recorded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e742665b63411a">
                    <w:r>
                      <w:rPr>
                        <w:rStyle w:val="Hyperlink"/>
                      </w:rPr>
                      <w:t xml:space="preserve">Person—total cholesterol measurement result recorded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f8d96a97e0e4a2e">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only collected for women who gave birth during the preceding 12 months.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d0799643e143bd">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045998467e4ee7">
                    <w:r>
                      <w:rPr>
                        <w:rStyle w:val="Hyperlink"/>
                      </w:rPr>
                      <w:t xml:space="preserve">Service provider organisation—Australian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ce19ce9864fc5">
                    <w:r>
                      <w:rPr>
                        <w:rStyle w:val="Hyperlink"/>
                      </w:rPr>
                      <w:t xml:space="preserve">Service provider organisation—day of operation,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e94da8f5074656">
                    <w:r>
                      <w:rPr>
                        <w:rStyle w:val="Hyperlink"/>
                      </w:rPr>
                      <w:t xml:space="preserve">Service provider organisation—full-time equivalent staff (paid),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3680bd1ef774788">
                    <w:r>
                      <w:rPr>
                        <w:rStyle w:val="Hyperlink"/>
                      </w:rPr>
                      <w:t xml:space="preserve">Service provider organisation—number of service operation days (7 day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1d65edee614671">
                    <w:r>
                      <w:rPr>
                        <w:rStyle w:val="Hyperlink"/>
                      </w:rPr>
                      <w:t xml:space="preserve">Service provider organisation—number of service operation hours (24 hour period),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8e8b0e385a041a1">
                    <w:r>
                      <w:rPr>
                        <w:rStyle w:val="Hyperlink"/>
                      </w:rPr>
                      <w:t xml:space="preserve">Service provider organisation—number of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a75a3282de4b56">
                    <w:r>
                      <w:rPr>
                        <w:rStyle w:val="Hyperlink"/>
                      </w:rPr>
                      <w:t xml:space="preserve">Service provider organisation—standards assessment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9503e667ea40f6">
                    <w:r>
                      <w:rPr>
                        <w:rStyle w:val="Hyperlink"/>
                      </w:rPr>
                      <w:t xml:space="preserve">Service provider organisation—standards assessment level,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4039290531d421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686603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62c1274a6c4db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039290531d4216" /><Relationship Type="http://schemas.openxmlformats.org/officeDocument/2006/relationships/header" Target="/word/header1.xml" Id="R124411195c9045fa" /><Relationship Type="http://schemas.openxmlformats.org/officeDocument/2006/relationships/settings" Target="/word/settings.xml" Id="Rc82b9e0099d241bc" /><Relationship Type="http://schemas.openxmlformats.org/officeDocument/2006/relationships/styles" Target="/word/styles.xml" Id="R83ef81abe1124853" /><Relationship Type="http://schemas.openxmlformats.org/officeDocument/2006/relationships/hyperlink" Target="https://meteor.aihw.gov.au/RegistrationAuthority/12" TargetMode="External" Id="R1c477afbc7ed4ccc" /><Relationship Type="http://schemas.openxmlformats.org/officeDocument/2006/relationships/hyperlink" Target="https://meteor.aihw.gov.au/RegistrationAuthority/6" TargetMode="External" Id="R49e4141e62754695" /><Relationship Type="http://schemas.openxmlformats.org/officeDocument/2006/relationships/hyperlink" Target="https://meteor.aihw.gov.au/content/585036" TargetMode="External" Id="Rbbedd80476df462f" /><Relationship Type="http://schemas.openxmlformats.org/officeDocument/2006/relationships/hyperlink" Target="https://meteor.aihw.gov.au/RegistrationAuthority/12" TargetMode="External" Id="Rc6d3f2961076471d" /><Relationship Type="http://schemas.openxmlformats.org/officeDocument/2006/relationships/hyperlink" Target="https://meteor.aihw.gov.au/RegistrationAuthority/6" TargetMode="External" Id="Rf2dee5eb18b74ed9" /><Relationship Type="http://schemas.openxmlformats.org/officeDocument/2006/relationships/hyperlink" Target="https://meteor.aihw.gov.au/content/694101" TargetMode="External" Id="Rc3515afd4cd143c2" /><Relationship Type="http://schemas.openxmlformats.org/officeDocument/2006/relationships/hyperlink" Target="https://meteor.aihw.gov.au/RegistrationAuthority/12" TargetMode="External" Id="R2afb1d53627e4959" /><Relationship Type="http://schemas.openxmlformats.org/officeDocument/2006/relationships/hyperlink" Target="https://meteor.aihw.gov.au/RegistrationAuthority/6" TargetMode="External" Id="R868290ebeb1145a3" /><Relationship Type="http://schemas.openxmlformats.org/officeDocument/2006/relationships/hyperlink" Target="https://meteor.aihw.gov.au/content/686315" TargetMode="External" Id="Rd7ab4cac47f04403" /><Relationship Type="http://schemas.openxmlformats.org/officeDocument/2006/relationships/hyperlink" Target="https://meteor.aihw.gov.au/RegistrationAuthority/12" TargetMode="External" Id="R7e8c0272e69c460a" /><Relationship Type="http://schemas.openxmlformats.org/officeDocument/2006/relationships/hyperlink" Target="https://meteor.aihw.gov.au/RegistrationAuthority/6" TargetMode="External" Id="R8f8ca7f1d12a4ab8" /><Relationship Type="http://schemas.openxmlformats.org/officeDocument/2006/relationships/hyperlink" Target="https://meteor.aihw.gov.au/content/687913" TargetMode="External" Id="R5731f30f657c48a0" /><Relationship Type="http://schemas.openxmlformats.org/officeDocument/2006/relationships/hyperlink" Target="https://meteor.aihw.gov.au/RegistrationAuthority/12" TargetMode="External" Id="R6375ac1617024938" /><Relationship Type="http://schemas.openxmlformats.org/officeDocument/2006/relationships/hyperlink" Target="https://meteor.aihw.gov.au/RegistrationAuthority/6" TargetMode="External" Id="R1aa00821183648a1" /><Relationship Type="http://schemas.openxmlformats.org/officeDocument/2006/relationships/hyperlink" Target="https://meteor.aihw.gov.au/content/594217" TargetMode="External" Id="R2015d1a409394b73" /><Relationship Type="http://schemas.openxmlformats.org/officeDocument/2006/relationships/hyperlink" Target="https://meteor.aihw.gov.au/content/429252" TargetMode="External" Id="Rf6d45cdd98014fdb" /><Relationship Type="http://schemas.openxmlformats.org/officeDocument/2006/relationships/hyperlink" Target="https://meteor.aihw.gov.au/content/611398" TargetMode="External" Id="R9f1cab9f4a5f466d" /><Relationship Type="http://schemas.openxmlformats.org/officeDocument/2006/relationships/hyperlink" Target="https://meteor.aihw.gov.au/content/522584" TargetMode="External" Id="Re2dd6510baca488b" /><Relationship Type="http://schemas.openxmlformats.org/officeDocument/2006/relationships/hyperlink" Target="https://meteor.aihw.gov.au/content/429747" TargetMode="External" Id="R4bf6b617ea624933" /><Relationship Type="http://schemas.openxmlformats.org/officeDocument/2006/relationships/hyperlink" Target="https://meteor.aihw.gov.au/content/429840" TargetMode="External" Id="R902cd1863d6f431a" /><Relationship Type="http://schemas.openxmlformats.org/officeDocument/2006/relationships/hyperlink" Target="https://meteor.aihw.gov.au/content/429012" TargetMode="External" Id="R995b3ec0664240e6" /><Relationship Type="http://schemas.openxmlformats.org/officeDocument/2006/relationships/hyperlink" Target="https://meteor.aihw.gov.au/content/429889" TargetMode="External" Id="Re6a0f6ec90794e7c" /><Relationship Type="http://schemas.openxmlformats.org/officeDocument/2006/relationships/hyperlink" Target="https://meteor.aihw.gov.au/content/482409" TargetMode="External" Id="R865e9c0870944877" /><Relationship Type="http://schemas.openxmlformats.org/officeDocument/2006/relationships/hyperlink" Target="https://meteor.aihw.gov.au/content/269949" TargetMode="External" Id="Rc270e26723a64a55" /><Relationship Type="http://schemas.openxmlformats.org/officeDocument/2006/relationships/hyperlink" Target="https://meteor.aihw.gov.au/content/459938" TargetMode="External" Id="R61162a8250fd45a3" /><Relationship Type="http://schemas.openxmlformats.org/officeDocument/2006/relationships/hyperlink" Target="https://meteor.aihw.gov.au/content/457664" TargetMode="External" Id="R8f2f702fa3da4df7" /><Relationship Type="http://schemas.openxmlformats.org/officeDocument/2006/relationships/hyperlink" Target="https://meteor.aihw.gov.au/content/686938" TargetMode="External" Id="R6fdc66fc0e864638" /><Relationship Type="http://schemas.openxmlformats.org/officeDocument/2006/relationships/hyperlink" Target="https://meteor.aihw.gov.au/content/457775" TargetMode="External" Id="Rc674d37164524b62" /><Relationship Type="http://schemas.openxmlformats.org/officeDocument/2006/relationships/hyperlink" Target="https://meteor.aihw.gov.au/content/617526" TargetMode="External" Id="R5928701205414a4c" /><Relationship Type="http://schemas.openxmlformats.org/officeDocument/2006/relationships/hyperlink" Target="https://meteor.aihw.gov.au/content/453823" TargetMode="External" Id="R819afb2e02a14379" /><Relationship Type="http://schemas.openxmlformats.org/officeDocument/2006/relationships/hyperlink" Target="https://meteor.aihw.gov.au/content/585236" TargetMode="External" Id="Re19e3a62149349fc" /><Relationship Type="http://schemas.openxmlformats.org/officeDocument/2006/relationships/hyperlink" Target="https://meteor.aihw.gov.au/content/585364" TargetMode="External" Id="R2f027e56d6d6458b" /><Relationship Type="http://schemas.openxmlformats.org/officeDocument/2006/relationships/hyperlink" Target="https://meteor.aihw.gov.au/content/303794" TargetMode="External" Id="R782009952d584ed8" /><Relationship Type="http://schemas.openxmlformats.org/officeDocument/2006/relationships/hyperlink" Target="https://meteor.aihw.gov.au/content/594120" TargetMode="External" Id="R0f53749ef75e46bc" /><Relationship Type="http://schemas.openxmlformats.org/officeDocument/2006/relationships/hyperlink" Target="https://meteor.aihw.gov.au/content/441441" TargetMode="External" Id="R9a879010bb194832" /><Relationship Type="http://schemas.openxmlformats.org/officeDocument/2006/relationships/hyperlink" Target="https://meteor.aihw.gov.au/content/585171" TargetMode="External" Id="R610567fd29ca45de" /><Relationship Type="http://schemas.openxmlformats.org/officeDocument/2006/relationships/hyperlink" Target="https://meteor.aihw.gov.au/content/585194" TargetMode="External" Id="R80f46a75e489453f" /><Relationship Type="http://schemas.openxmlformats.org/officeDocument/2006/relationships/hyperlink" Target="https://meteor.aihw.gov.au/content/441701" TargetMode="External" Id="Rb033e8d2555a4292" /><Relationship Type="http://schemas.openxmlformats.org/officeDocument/2006/relationships/hyperlink" Target="https://meteor.aihw.gov.au/content/443234" TargetMode="External" Id="Rcf89e184a5b94617" /><Relationship Type="http://schemas.openxmlformats.org/officeDocument/2006/relationships/hyperlink" Target="https://meteor.aihw.gov.au/content/441407" TargetMode="External" Id="R04f5dc6fc54b4994" /><Relationship Type="http://schemas.openxmlformats.org/officeDocument/2006/relationships/hyperlink" Target="https://meteor.aihw.gov.au/content/270474" TargetMode="External" Id="R8bb08a417b2a439d" /><Relationship Type="http://schemas.openxmlformats.org/officeDocument/2006/relationships/hyperlink" Target="https://meteor.aihw.gov.au/content/443083" TargetMode="External" Id="R7cd148d957794b9c" /><Relationship Type="http://schemas.openxmlformats.org/officeDocument/2006/relationships/hyperlink" Target="https://meteor.aihw.gov.au/content/465948" TargetMode="External" Id="R55d628a1e56d4688" /><Relationship Type="http://schemas.openxmlformats.org/officeDocument/2006/relationships/hyperlink" Target="http://help.pencs.com.au/cat.htm" TargetMode="External" Id="Rc33f8c4afc8f4d0c" /><Relationship Type="http://schemas.openxmlformats.org/officeDocument/2006/relationships/hyperlink" Target="https://meteor.aihw.gov.au/content/464928" TargetMode="External" Id="Rc7576b72bb1a4762" /><Relationship Type="http://schemas.openxmlformats.org/officeDocument/2006/relationships/hyperlink" Target="http://help.pencs.com.au/cat.htm" TargetMode="External" Id="R89db0a13e6724bfd" /><Relationship Type="http://schemas.openxmlformats.org/officeDocument/2006/relationships/hyperlink" Target="https://meteor.aihw.gov.au/content/270194" TargetMode="External" Id="Rea1a2ebccdc24b69" /><Relationship Type="http://schemas.openxmlformats.org/officeDocument/2006/relationships/hyperlink" Target="https://meteor.aihw.gov.au/content/464961" TargetMode="External" Id="R5e039545271b4ea6" /><Relationship Type="http://schemas.openxmlformats.org/officeDocument/2006/relationships/hyperlink" Target="https://meteor.aihw.gov.au/content/503010" TargetMode="External" Id="Rf75a39de84bf4fcd" /><Relationship Type="http://schemas.openxmlformats.org/officeDocument/2006/relationships/hyperlink" Target="https://meteor.aihw.gov.au/content/589601" TargetMode="External" Id="Rcfbc612a27f74037" /><Relationship Type="http://schemas.openxmlformats.org/officeDocument/2006/relationships/hyperlink" Target="https://meteor.aihw.gov.au/content/441495" TargetMode="External" Id="R01150a2470b2494b" /><Relationship Type="http://schemas.openxmlformats.org/officeDocument/2006/relationships/hyperlink" Target="https://meteor.aihw.gov.au/content/504966" TargetMode="External" Id="R1d9209fa3c1f4ab2" /><Relationship Type="http://schemas.openxmlformats.org/officeDocument/2006/relationships/hyperlink" Target="https://meteor.aihw.gov.au/content/594647" TargetMode="External" Id="R0ba972a96c634421" /><Relationship Type="http://schemas.openxmlformats.org/officeDocument/2006/relationships/hyperlink" Target="https://meteor.aihw.gov.au/content/602543" TargetMode="External" Id="R71bf458840ea4ae4" /><Relationship Type="http://schemas.openxmlformats.org/officeDocument/2006/relationships/hyperlink" Target="https://meteor.aihw.gov.au/content/457688" TargetMode="External" Id="R8a787939f75c4fdc" /><Relationship Type="http://schemas.openxmlformats.org/officeDocument/2006/relationships/hyperlink" Target="https://meteor.aihw.gov.au/content/504933" TargetMode="External" Id="Raadadbea5c74409c" /><Relationship Type="http://schemas.openxmlformats.org/officeDocument/2006/relationships/hyperlink" Target="https://meteor.aihw.gov.au/content/464970" TargetMode="External" Id="R5b0d1e0f3f4e4aa2" /><Relationship Type="http://schemas.openxmlformats.org/officeDocument/2006/relationships/hyperlink" Target="https://meteor.aihw.gov.au/content/686291" TargetMode="External" Id="R14479bc2d1944405" /><Relationship Type="http://schemas.openxmlformats.org/officeDocument/2006/relationships/hyperlink" Target="https://meteor.aihw.gov.au/content/635126" TargetMode="External" Id="R4e0cc1d374344761" /><Relationship Type="http://schemas.openxmlformats.org/officeDocument/2006/relationships/hyperlink" Target="https://meteor.aihw.gov.au/content/441380" TargetMode="External" Id="Rc57d0f26fb9e49f1" /><Relationship Type="http://schemas.openxmlformats.org/officeDocument/2006/relationships/hyperlink" Target="https://meteor.aihw.gov.au/content/588766" TargetMode="External" Id="Rfaf1c6cf5cc546e0" /><Relationship Type="http://schemas.openxmlformats.org/officeDocument/2006/relationships/hyperlink" Target="https://meteor.aihw.gov.au/content/504991" TargetMode="External" Id="Re4d682045c3940b7" /><Relationship Type="http://schemas.openxmlformats.org/officeDocument/2006/relationships/hyperlink" Target="https://meteor.aihw.gov.au/content/270311" TargetMode="External" Id="R7c4521c201e0471c" /><Relationship Type="http://schemas.openxmlformats.org/officeDocument/2006/relationships/hyperlink" Target="https://meteor.aihw.gov.au/content/588774" TargetMode="External" Id="R3ae742665b63411a" /><Relationship Type="http://schemas.openxmlformats.org/officeDocument/2006/relationships/hyperlink" Target="https://meteor.aihw.gov.au/content/379597" TargetMode="External" Id="R4f8d96a97e0e4a2e" /><Relationship Type="http://schemas.openxmlformats.org/officeDocument/2006/relationships/hyperlink" Target="https://meteor.aihw.gov.au/content/287480" TargetMode="External" Id="Rb5d0799643e143bd" /><Relationship Type="http://schemas.openxmlformats.org/officeDocument/2006/relationships/hyperlink" Target="https://meteor.aihw.gov.au/content/289083" TargetMode="External" Id="Rb6045998467e4ee7" /><Relationship Type="http://schemas.openxmlformats.org/officeDocument/2006/relationships/hyperlink" Target="https://meteor.aihw.gov.au/content/315122" TargetMode="External" Id="Rdcece19ce9864fc5" /><Relationship Type="http://schemas.openxmlformats.org/officeDocument/2006/relationships/hyperlink" Target="https://meteor.aihw.gov.au/content/270213" TargetMode="External" Id="R94e94da8f5074656" /><Relationship Type="http://schemas.openxmlformats.org/officeDocument/2006/relationships/hyperlink" Target="https://meteor.aihw.gov.au/content/323188" TargetMode="External" Id="R03680bd1ef774788" /><Relationship Type="http://schemas.openxmlformats.org/officeDocument/2006/relationships/hyperlink" Target="https://meteor.aihw.gov.au/content/270376" TargetMode="External" Id="Rc91d65edee614671" /><Relationship Type="http://schemas.openxmlformats.org/officeDocument/2006/relationships/hyperlink" Target="https://meteor.aihw.gov.au/content/270377" TargetMode="External" Id="R68e8b0e385a041a1" /><Relationship Type="http://schemas.openxmlformats.org/officeDocument/2006/relationships/hyperlink" Target="https://meteor.aihw.gov.au/content/356457" TargetMode="External" Id="R42a75a3282de4b56" /><Relationship Type="http://schemas.openxmlformats.org/officeDocument/2006/relationships/hyperlink" Target="https://meteor.aihw.gov.au/content/359019" TargetMode="External" Id="R729503e667ea40f6" /></Relationships>
</file>

<file path=word/_rels/header1.xml.rels>&#65279;<?xml version="1.0" encoding="utf-8"?><Relationships xmlns="http://schemas.openxmlformats.org/package/2006/relationships"><Relationship Type="http://schemas.openxmlformats.org/officeDocument/2006/relationships/image" Target="/media/image.png" Id="R6762c1274a6c4dbb" /></Relationships>
</file>