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fa796fc03f74329"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PI02b-Proportion of Indigenous babies born within the previous 12 months whose birthweight results were low, normal or high, 2015-2017</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PI02b-Proportion of Indigenous babies born within the previous 12 months whose birthweight results were low, normal or high,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PI02b-Proportion of Indigenous babies born within the previous 12 months whose birthweight results were low, normal or high,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686348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d21913ea60244dc4">
              <w:r>
                <w:rPr>
                  <w:rStyle w:val="Hyperlink"/>
                  <w:color w:val="244061"/>
                </w:rPr>
                <w:t xml:space="preserve">Health</w:t>
              </w:r>
            </w:hyperlink>
            <w:r>
              <w:rPr>
                <w:rStyle w:val="row-content"/>
                <w:color w:val="244061"/>
              </w:rPr>
              <w:t xml:space="preserve">, Superseded 17/10/2018</w:t>
            </w:r>
          </w:p>
          <w:p>
            <w:pPr>
              <w:spacing w:before="0" w:after="0"/>
            </w:pPr>
            <w:hyperlink w:history="true" r:id="R376606be47bd4b02">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Indigenous babies born within the previous 12 months whose birthweight results were categorised as one of the following:</w:t>
            </w:r>
          </w:p>
          <w:p>
            <w:pPr>
              <w:pStyle w:val="ListParagraph"/>
              <w:numPr>
                <w:ilvl w:val="0"/>
                <w:numId w:val="2"/>
              </w:numPr>
            </w:pPr>
            <w:r>
              <w:rPr>
                <w:rStyle w:val="row-content-rich-text"/>
              </w:rPr>
              <w:t xml:space="preserve">Low (less than 2,500 grams)</w:t>
            </w:r>
          </w:p>
          <w:p>
            <w:pPr>
              <w:pStyle w:val="ListParagraph"/>
              <w:numPr>
                <w:ilvl w:val="0"/>
                <w:numId w:val="2"/>
              </w:numPr>
            </w:pPr>
            <w:r>
              <w:rPr>
                <w:rStyle w:val="row-content-rich-text"/>
              </w:rPr>
              <w:t xml:space="preserve">Normal (2,500 grams to less than 4,500 grams)</w:t>
            </w:r>
          </w:p>
          <w:p>
            <w:pPr>
              <w:pStyle w:val="ListParagraph"/>
              <w:numPr>
                <w:ilvl w:val="0"/>
                <w:numId w:val="2"/>
              </w:numPr>
            </w:pPr>
            <w:r>
              <w:rPr>
                <w:rStyle w:val="row-content-rich-text"/>
              </w:rPr>
              <w:t xml:space="preserve">High (4,500 grams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Low birthweight (newborn babies weighing less than 2,500 grams) is associated with an increased risk of ill health and is related to higher mortality within the first year of life. Low birthweight is a particular issue for Indigenous Australians. Recording birth weight encourages the provision of appropriate care to limit the negative associations of low birthweight.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4dd24d36b5d84ecb">
              <w:r>
                <w:rPr>
                  <w:rStyle w:val="Hyperlink"/>
                </w:rPr>
                <w:t xml:space="preserve">Indigenous primary health care key performance indicators (2015-2017)</w:t>
              </w:r>
            </w:hyperlink>
          </w:p>
          <w:p>
            <w:pPr>
              <w:pStyle w:val="registration-status"/>
              <w:spacing w:before="0" w:after="0"/>
            </w:pPr>
            <w:hyperlink w:history="true" r:id="R61b559ddd4bb47c6">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1e5e1d75a7ac42e3">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Indigenous babies born within the previous 12 months whose birthweight results were categorised as one of the following:</w:t>
            </w:r>
          </w:p>
          <w:p>
            <w:pPr>
              <w:pStyle w:val="ListParagraph"/>
              <w:numPr>
                <w:ilvl w:val="0"/>
                <w:numId w:val="3"/>
              </w:numPr>
            </w:pPr>
            <w:r>
              <w:rPr>
                <w:rStyle w:val="row-content-rich-text"/>
              </w:rPr>
              <w:t xml:space="preserve">Low (less than 2,500 grams)</w:t>
            </w:r>
          </w:p>
          <w:p>
            <w:pPr>
              <w:pStyle w:val="ListParagraph"/>
              <w:numPr>
                <w:ilvl w:val="0"/>
                <w:numId w:val="3"/>
              </w:numPr>
            </w:pPr>
            <w:r>
              <w:rPr>
                <w:rStyle w:val="row-content-rich-text"/>
              </w:rPr>
              <w:t xml:space="preserve">Normal (2,500 grams to less than 4,500 grams)</w:t>
            </w:r>
          </w:p>
          <w:p>
            <w:pPr>
              <w:pStyle w:val="ListParagraph"/>
              <w:numPr>
                <w:ilvl w:val="0"/>
                <w:numId w:val="3"/>
              </w:numPr>
            </w:pPr>
            <w:r>
              <w:rPr>
                <w:rStyle w:val="row-content-rich-text"/>
              </w:rPr>
              <w:t xml:space="preserve">High (4,500 grams and over).</w:t>
            </w:r>
          </w:p>
          <w:p>
            <w:pPr>
              <w:spacing w:after="160"/>
            </w:pPr>
            <w:r>
              <w:rPr>
                <w:rStyle w:val="row-content-rich-text"/>
              </w:rPr>
              <w:t xml:space="preserve">Birthweight is defined as the first weight of a baby obtained after birth.</w:t>
            </w:r>
          </w:p>
          <w:p>
            <w:pPr>
              <w:spacing w:after="160"/>
            </w:pPr>
            <w:r>
              <w:rPr>
                <w:rStyle w:val="row-content-rich-text"/>
              </w:rPr>
              <w:t xml:space="preserve">Presented as a percentage.</w:t>
            </w:r>
          </w:p>
          <w:p>
            <w:pPr>
              <w:spacing w:after="160"/>
            </w:pPr>
            <w:r>
              <w:rPr>
                <w:rStyle w:val="row-content-rich-text"/>
              </w:rPr>
              <w:t xml:space="preserve">Calculated separately for each weight range.</w:t>
            </w:r>
          </w:p>
          <w:p>
            <w:pPr>
              <w:spacing w:after="160"/>
            </w:pPr>
            <w:r>
              <w:rPr>
                <w:rStyle w:val="row-content-rich-text"/>
              </w:rPr>
              <w:t xml:space="preserve">Excludes multiple births and stillbirths. Births that are at least 20 weeks gestation or at least 400 grams birthweight are included.</w:t>
            </w:r>
          </w:p>
          <w:p>
            <w:pPr>
              <w:spacing w:after="160"/>
            </w:pPr>
            <w:r>
              <w:rPr>
                <w:rStyle w:val="row-content-rich-text"/>
              </w:rPr>
              <w:t xml:space="preserve">Excludes unknown birthweight and unknown gestational age.</w:t>
            </w:r>
          </w:p>
          <w:p>
            <w:pPr/>
            <w:r>
              <w:rPr>
                <w:rStyle w:val="row-content-rich-text"/>
              </w:rPr>
              <w:t xml:space="preserve">'Previous 12 months' refers to the previous financial year or previous calendar year.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Indigenous babies born within the previous 12 months whose birthweight was recorded at the primary health-care service with a result categorised as low (less than 2,500 grams).</w:t>
            </w:r>
          </w:p>
          <w:p>
            <w:pPr>
              <w:spacing w:after="160"/>
            </w:pPr>
            <w:r>
              <w:rPr>
                <w:rStyle w:val="row-content-rich-text"/>
              </w:rPr>
              <w:t xml:space="preserve">Calculation B: Number of Indigenous babies born within the previous 12 months whose birthweight was recorded at the primary health-care service with a result categorised as normal (2,500 grams to less than 4,500 grams).</w:t>
            </w:r>
          </w:p>
          <w:p>
            <w:pPr/>
            <w:r>
              <w:rPr>
                <w:rStyle w:val="row-content-rich-text"/>
              </w:rPr>
              <w:t xml:space="preserve">Calculation C: Number of Indigenous babies born within the previous 12 months whose birthweight was recorded at the primary health-care service with a result categorised as high (4,500 grams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a9e8294d2d184355">
              <w:r>
                <w:rPr>
                  <w:rStyle w:val="Hyperlink"/>
                </w:rPr>
                <w:t xml:space="preserve">Birth—birth status, code N</w:t>
              </w:r>
            </w:hyperlink>
          </w:p>
          <w:p>
            <w:r>
              <w:rPr>
                <w:rStyle w:val="row-content"/>
                <w:b/>
              </w:rPr>
              <w:t xml:space="preserve">Data Source</w:t>
            </w:r>
          </w:p>
          <w:p>
            <w:hyperlink w:history="true" r:id="Rb82f615e577444ff">
              <w:r>
                <w:rPr>
                  <w:rStyle w:val="Hyperlink"/>
                </w:rPr>
                <w:t xml:space="preserve">Indigenous primary health care data collection</w:t>
              </w:r>
            </w:hyperlink>
          </w:p>
          <w:p>
            <w:r>
              <w:rPr>
                <w:rStyle w:val="row-content"/>
                <w:b/>
              </w:rPr>
              <w:t xml:space="preserve">NMDS / DSS</w:t>
            </w:r>
          </w:p>
          <w:p>
            <w:hyperlink w:history="true" r:id="R679fee5147d541a7">
              <w:r>
                <w:rPr>
                  <w:rStyle w:val="Hyperlink"/>
                </w:rPr>
                <w:t xml:space="preserve">Indigenous primary health care NBEDS 2017–18</w:t>
              </w:r>
            </w:hyperlink>
          </w:p>
          <w:p>
            <w:r>
              <w:rPr>
                <w:rStyle w:val="row-content"/>
                <w:b/>
              </w:rPr>
              <w:t xml:space="preserve">Guide for use</w:t>
            </w:r>
          </w:p>
          <w:p>
            <w:r>
              <w:rPr>
                <w:rStyle w:val="row-content"/>
              </w:rPr>
              <w:t xml:space="preserve">Only live births are included.</w:t>
            </w:r>
          </w:p>
          <w:p>
            <w:r>
              <w:rPr>
                <w:rStyle w:val="row-content"/>
              </w:rPr>
              <w:t xml:space="preserve"> </w:t>
            </w:r>
          </w:p>
          <w:p>
            <w:r>
              <w:rPr>
                <w:rStyle w:val="row-content"/>
                <w:b/>
                <w:color w:val="000000"/>
              </w:rPr>
              <w:t xml:space="preserve">Data Element / Data Set</w:t>
            </w:r>
          </w:p>
          <w:p>
            <w:hyperlink w:history="true" r:id="R0e7a31fc12914f32">
              <w:r>
                <w:rPr>
                  <w:rStyle w:val="Hyperlink"/>
                </w:rPr>
                <w:t xml:space="preserve">Birth—birth weight, code N</w:t>
              </w:r>
            </w:hyperlink>
          </w:p>
          <w:p>
            <w:r>
              <w:rPr>
                <w:rStyle w:val="row-content"/>
                <w:b/>
              </w:rPr>
              <w:t xml:space="preserve">Data Source</w:t>
            </w:r>
          </w:p>
          <w:p>
            <w:hyperlink w:history="true" r:id="R6d049e8bc27d436d">
              <w:r>
                <w:rPr>
                  <w:rStyle w:val="Hyperlink"/>
                </w:rPr>
                <w:t xml:space="preserve">Indigenous primary health care data collection</w:t>
              </w:r>
            </w:hyperlink>
          </w:p>
          <w:p>
            <w:r>
              <w:rPr>
                <w:rStyle w:val="row-content"/>
                <w:b/>
              </w:rPr>
              <w:t xml:space="preserve">NMDS / DSS</w:t>
            </w:r>
          </w:p>
          <w:p>
            <w:hyperlink w:history="true" r:id="R16e8c30be8034489">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1c2f45fd71cd47ba">
              <w:r>
                <w:rPr>
                  <w:rStyle w:val="Hyperlink"/>
                </w:rPr>
                <w:t xml:space="preserve">Birth event—birth plurality, code N</w:t>
              </w:r>
            </w:hyperlink>
          </w:p>
          <w:p>
            <w:r>
              <w:rPr>
                <w:rStyle w:val="row-content"/>
                <w:b/>
              </w:rPr>
              <w:t xml:space="preserve">Data Source</w:t>
            </w:r>
          </w:p>
          <w:p>
            <w:hyperlink w:history="true" r:id="R832185536efa487a">
              <w:r>
                <w:rPr>
                  <w:rStyle w:val="Hyperlink"/>
                </w:rPr>
                <w:t xml:space="preserve">Indigenous primary health care data collection</w:t>
              </w:r>
            </w:hyperlink>
          </w:p>
          <w:p>
            <w:r>
              <w:rPr>
                <w:rStyle w:val="row-content"/>
                <w:b/>
              </w:rPr>
              <w:t xml:space="preserve">NMDS / DSS</w:t>
            </w:r>
          </w:p>
          <w:p>
            <w:hyperlink w:history="true" r:id="Rd7577bb589d54e1a">
              <w:r>
                <w:rPr>
                  <w:rStyle w:val="Hyperlink"/>
                </w:rPr>
                <w:t xml:space="preserve">Indigenous primary health care NBEDS 2017–18</w:t>
              </w:r>
            </w:hyperlink>
          </w:p>
          <w:p>
            <w:r>
              <w:rPr>
                <w:rStyle w:val="row-content"/>
                <w:b/>
              </w:rPr>
              <w:t xml:space="preserve">Guide for use</w:t>
            </w:r>
          </w:p>
          <w:p>
            <w:r>
              <w:rPr>
                <w:rStyle w:val="row-content"/>
              </w:rPr>
              <w:t xml:space="preserve">Only singleton births are included.</w:t>
            </w:r>
          </w:p>
          <w:p>
            <w:r>
              <w:rPr>
                <w:rStyle w:val="row-content"/>
              </w:rPr>
              <w:t xml:space="preserve"> </w:t>
            </w:r>
          </w:p>
          <w:p>
            <w:r>
              <w:rPr>
                <w:rStyle w:val="row-content"/>
                <w:b/>
                <w:color w:val="000000"/>
              </w:rPr>
              <w:t xml:space="preserve">Data Element / Data Set</w:t>
            </w:r>
          </w:p>
          <w:p>
            <w:hyperlink w:history="true" r:id="R17a393bf441f4da1">
              <w:r>
                <w:rPr>
                  <w:rStyle w:val="Hyperlink"/>
                </w:rPr>
                <w:t xml:space="preserve">Person—Indigenous status, code N</w:t>
              </w:r>
            </w:hyperlink>
          </w:p>
          <w:p>
            <w:r>
              <w:rPr>
                <w:rStyle w:val="row-content"/>
                <w:b/>
              </w:rPr>
              <w:t xml:space="preserve">Data Source</w:t>
            </w:r>
          </w:p>
          <w:p>
            <w:hyperlink w:history="true" r:id="Rc31d05d85b34494a">
              <w:r>
                <w:rPr>
                  <w:rStyle w:val="Hyperlink"/>
                </w:rPr>
                <w:t xml:space="preserve">Indigenous primary health care data collection</w:t>
              </w:r>
            </w:hyperlink>
          </w:p>
          <w:p>
            <w:r>
              <w:rPr>
                <w:rStyle w:val="row-content"/>
                <w:b/>
              </w:rPr>
              <w:t xml:space="preserve">NMDS / DSS</w:t>
            </w:r>
          </w:p>
          <w:p>
            <w:hyperlink w:history="true" r:id="Rb22bfadece944827">
              <w:r>
                <w:rPr>
                  <w:rStyle w:val="Hyperlink"/>
                </w:rPr>
                <w:t xml:space="preserve">Indigenous primary health care NBEDS 2017–18</w:t>
              </w:r>
            </w:hyperlink>
          </w:p>
          <w:p>
            <w:r>
              <w:rPr>
                <w:rStyle w:val="row-content"/>
                <w:b/>
              </w:rPr>
              <w:t xml:space="preserve">Guide for use</w:t>
            </w:r>
          </w:p>
          <w:p>
            <w:r>
              <w:rPr>
                <w:rStyle w:val="row-content"/>
              </w:rPr>
              <w:t xml:space="preserve">The baby is considered Indigenous if one or both parents identify as Indigenous.</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Calculation A, B and C: Total number of Indigenous babies born within the previous 12 months whose birthweight has been recorded at the primary health-care service.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9284b0daa948449b">
              <w:r>
                <w:rPr>
                  <w:rStyle w:val="Hyperlink"/>
                </w:rPr>
                <w:t xml:space="preserve">Birth—birth status, code N</w:t>
              </w:r>
            </w:hyperlink>
          </w:p>
          <w:p>
            <w:r>
              <w:rPr>
                <w:rStyle w:val="row-content"/>
                <w:b/>
              </w:rPr>
              <w:t xml:space="preserve">Data Source</w:t>
            </w:r>
          </w:p>
          <w:p>
            <w:hyperlink w:history="true" r:id="Rd2434048d44446c4">
              <w:r>
                <w:rPr>
                  <w:rStyle w:val="Hyperlink"/>
                </w:rPr>
                <w:t xml:space="preserve">Indigenous primary health care data collection</w:t>
              </w:r>
            </w:hyperlink>
          </w:p>
          <w:p>
            <w:r>
              <w:rPr>
                <w:rStyle w:val="row-content"/>
                <w:b/>
              </w:rPr>
              <w:t xml:space="preserve">NMDS / DSS</w:t>
            </w:r>
          </w:p>
          <w:p>
            <w:hyperlink w:history="true" r:id="Rfe796d4c5cd04c3a">
              <w:r>
                <w:rPr>
                  <w:rStyle w:val="Hyperlink"/>
                </w:rPr>
                <w:t xml:space="preserve">Indigenous primary health care NBEDS 2017–18</w:t>
              </w:r>
            </w:hyperlink>
          </w:p>
          <w:p>
            <w:r>
              <w:rPr>
                <w:rStyle w:val="row-content"/>
                <w:b/>
              </w:rPr>
              <w:t xml:space="preserve">Guide for use</w:t>
            </w:r>
          </w:p>
          <w:p>
            <w:r>
              <w:rPr>
                <w:rStyle w:val="row-content"/>
              </w:rPr>
              <w:t xml:space="preserve">Only live births are included.</w:t>
            </w:r>
          </w:p>
          <w:p>
            <w:r>
              <w:rPr>
                <w:rStyle w:val="row-content"/>
              </w:rPr>
              <w:t xml:space="preserve"> </w:t>
            </w:r>
          </w:p>
          <w:p>
            <w:r>
              <w:rPr>
                <w:rStyle w:val="row-content"/>
                <w:b/>
                <w:color w:val="000000"/>
              </w:rPr>
              <w:t xml:space="preserve">Data Element / Data Set</w:t>
            </w:r>
          </w:p>
          <w:p>
            <w:hyperlink w:history="true" r:id="Re21f592ade3d4ebb">
              <w:r>
                <w:rPr>
                  <w:rStyle w:val="Hyperlink"/>
                </w:rPr>
                <w:t xml:space="preserve">Person—birth weight recorded indicator, yes/no code N</w:t>
              </w:r>
            </w:hyperlink>
          </w:p>
          <w:p>
            <w:r>
              <w:rPr>
                <w:rStyle w:val="row-content"/>
                <w:b/>
              </w:rPr>
              <w:t xml:space="preserve">Data Source</w:t>
            </w:r>
          </w:p>
          <w:p>
            <w:hyperlink w:history="true" r:id="R23cc71ff9eb54d13">
              <w:r>
                <w:rPr>
                  <w:rStyle w:val="Hyperlink"/>
                </w:rPr>
                <w:t xml:space="preserve">Indigenous primary health care data collection</w:t>
              </w:r>
            </w:hyperlink>
          </w:p>
          <w:p>
            <w:r>
              <w:rPr>
                <w:rStyle w:val="row-content"/>
                <w:b/>
              </w:rPr>
              <w:t xml:space="preserve">NMDS / DSS</w:t>
            </w:r>
          </w:p>
          <w:p>
            <w:hyperlink w:history="true" r:id="Rd018209e9cc645ee">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7c4da4a977784a30">
              <w:r>
                <w:rPr>
                  <w:rStyle w:val="Hyperlink"/>
                </w:rPr>
                <w:t xml:space="preserve">Birth event—birth plurality, code N</w:t>
              </w:r>
            </w:hyperlink>
          </w:p>
          <w:p>
            <w:r>
              <w:rPr>
                <w:rStyle w:val="row-content"/>
                <w:b/>
              </w:rPr>
              <w:t xml:space="preserve">Data Source</w:t>
            </w:r>
          </w:p>
          <w:p>
            <w:hyperlink w:history="true" r:id="R0b0665b6b4674245">
              <w:r>
                <w:rPr>
                  <w:rStyle w:val="Hyperlink"/>
                </w:rPr>
                <w:t xml:space="preserve">Indigenous primary health care data collection</w:t>
              </w:r>
            </w:hyperlink>
          </w:p>
          <w:p>
            <w:r>
              <w:rPr>
                <w:rStyle w:val="row-content"/>
                <w:b/>
              </w:rPr>
              <w:t xml:space="preserve">NMDS / DSS</w:t>
            </w:r>
          </w:p>
          <w:p>
            <w:hyperlink w:history="true" r:id="R911451f8f67e4480">
              <w:r>
                <w:rPr>
                  <w:rStyle w:val="Hyperlink"/>
                </w:rPr>
                <w:t xml:space="preserve">Indigenous primary health care NBEDS 2017–18</w:t>
              </w:r>
            </w:hyperlink>
          </w:p>
          <w:p>
            <w:r>
              <w:rPr>
                <w:rStyle w:val="row-content"/>
                <w:b/>
              </w:rPr>
              <w:t xml:space="preserve">Guide for use</w:t>
            </w:r>
          </w:p>
          <w:p>
            <w:r>
              <w:rPr>
                <w:rStyle w:val="row-content"/>
              </w:rPr>
              <w:t xml:space="preserve">Only singleton births are included.</w:t>
            </w:r>
          </w:p>
          <w:p>
            <w:r>
              <w:rPr>
                <w:rStyle w:val="row-content"/>
              </w:rPr>
              <w:t xml:space="preserve"> </w:t>
            </w:r>
          </w:p>
          <w:p>
            <w:r>
              <w:rPr>
                <w:rStyle w:val="row-content"/>
                <w:b/>
                <w:color w:val="000000"/>
              </w:rPr>
              <w:t xml:space="preserve">Data Element / Data Set</w:t>
            </w:r>
          </w:p>
          <w:p>
            <w:hyperlink w:history="true" r:id="R1a4e6f9337644079">
              <w:r>
                <w:rPr>
                  <w:rStyle w:val="Hyperlink"/>
                </w:rPr>
                <w:t xml:space="preserve">Person—Indigenous status, code N</w:t>
              </w:r>
            </w:hyperlink>
          </w:p>
          <w:p>
            <w:r>
              <w:rPr>
                <w:rStyle w:val="row-content"/>
                <w:b/>
              </w:rPr>
              <w:t xml:space="preserve">Data Source</w:t>
            </w:r>
          </w:p>
          <w:p>
            <w:hyperlink w:history="true" r:id="R2e1270dcfc87453c">
              <w:r>
                <w:rPr>
                  <w:rStyle w:val="Hyperlink"/>
                </w:rPr>
                <w:t xml:space="preserve">Indigenous primary health care data collection</w:t>
              </w:r>
            </w:hyperlink>
          </w:p>
          <w:p>
            <w:r>
              <w:rPr>
                <w:rStyle w:val="row-content"/>
                <w:b/>
              </w:rPr>
              <w:t xml:space="preserve">NMDS / DSS</w:t>
            </w:r>
          </w:p>
          <w:p>
            <w:hyperlink w:history="true" r:id="R304ffedc9b4f4646">
              <w:r>
                <w:rPr>
                  <w:rStyle w:val="Hyperlink"/>
                </w:rPr>
                <w:t xml:space="preserve">Indigenous primary health care NBEDS 2017–18</w:t>
              </w:r>
            </w:hyperlink>
          </w:p>
          <w:p>
            <w:r>
              <w:rPr>
                <w:rStyle w:val="row-content"/>
                <w:b/>
              </w:rPr>
              <w:t xml:space="preserve">Guide for use</w:t>
            </w:r>
          </w:p>
          <w:p>
            <w:r>
              <w:rPr>
                <w:rStyle w:val="row-content"/>
              </w:rPr>
              <w:t xml:space="preserve">The baby is considered Indigenous if one or both parents identify as Indigenous.</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2d49abdfd09d4873">
              <w:r>
                <w:rPr>
                  <w:rStyle w:val="Hyperlink"/>
                </w:rPr>
                <w:t xml:space="preserve">Health Conditions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7b406c60b42a4e0c">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c4094a816cf7474f">
              <w:r>
                <w:rPr>
                  <w:rStyle w:val="Hyperlink"/>
                </w:rPr>
                <w:t xml:space="preserve">Indigenous primary health care: PI02b-Proportion of Indigenous babies born within the previous 12 months whose birth weight results were low, normal or high, 2015-2017</w:t>
              </w:r>
            </w:hyperlink>
          </w:p>
          <w:p>
            <w:pPr>
              <w:pStyle w:val="registration-status"/>
              <w:spacing w:before="0" w:after="0"/>
            </w:pPr>
            <w:hyperlink w:history="true" r:id="Rf14cb2b00ce34cbe">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f08865be72564f25">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637fbbf663014934">
              <w:r>
                <w:rPr>
                  <w:rStyle w:val="Hyperlink"/>
                </w:rPr>
                <w:t xml:space="preserve">Indigenous primary health care: PI02b-Proportion of Indigenous babies born within the previous 12 months whose birthweight results were low, normal or high, 2018-2019</w:t>
              </w:r>
            </w:hyperlink>
          </w:p>
          <w:p>
            <w:pPr>
              <w:pStyle w:val="registration-status"/>
              <w:spacing w:before="0" w:after="0"/>
            </w:pPr>
            <w:hyperlink w:history="true" r:id="R7ada27de6bca402e">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b6cd3d15b7e3467c">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3e2dc22efda14e02">
              <w:r>
                <w:rPr>
                  <w:rStyle w:val="Hyperlink"/>
                </w:rPr>
                <w:t xml:space="preserve">Indigenous primary health care: PI02a-Number of Indigenous babies born within the previous 12 months whose birthweight results were low, normal or high, 2015-2017</w:t>
              </w:r>
            </w:hyperlink>
          </w:p>
          <w:p>
            <w:pPr>
              <w:pStyle w:val="registration-status"/>
              <w:spacing w:before="0" w:after="0"/>
            </w:pPr>
            <w:hyperlink w:history="true" r:id="Raa96ee3efb6e43d8">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940e9abcbb464e5a">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93b92210f3c84150"/>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686348</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1bdf2b8c7d154172"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93b92210f3c84150" /><Relationship Type="http://schemas.openxmlformats.org/officeDocument/2006/relationships/header" Target="/word/header1.xml" Id="R778c45a20fd24c56" /><Relationship Type="http://schemas.openxmlformats.org/officeDocument/2006/relationships/settings" Target="/word/settings.xml" Id="R6b8a2d823f554bee" /><Relationship Type="http://schemas.openxmlformats.org/officeDocument/2006/relationships/styles" Target="/word/styles.xml" Id="Rc1b05eb2c816460f" /><Relationship Type="http://schemas.openxmlformats.org/officeDocument/2006/relationships/numbering" Target="/word/numbering.xml" Id="R35b90fbf41e0469b" /><Relationship Type="http://schemas.openxmlformats.org/officeDocument/2006/relationships/hyperlink" Target="https://meteor.aihw.gov.au/RegistrationAuthority/12" TargetMode="External" Id="Rd21913ea60244dc4" /><Relationship Type="http://schemas.openxmlformats.org/officeDocument/2006/relationships/hyperlink" Target="https://meteor.aihw.gov.au/RegistrationAuthority/6" TargetMode="External" Id="R376606be47bd4b02" /><Relationship Type="http://schemas.openxmlformats.org/officeDocument/2006/relationships/hyperlink" Target="https://meteor.aihw.gov.au/content/686315" TargetMode="External" Id="R4dd24d36b5d84ecb" /><Relationship Type="http://schemas.openxmlformats.org/officeDocument/2006/relationships/hyperlink" Target="https://meteor.aihw.gov.au/RegistrationAuthority/12" TargetMode="External" Id="R61b559ddd4bb47c6" /><Relationship Type="http://schemas.openxmlformats.org/officeDocument/2006/relationships/hyperlink" Target="https://meteor.aihw.gov.au/RegistrationAuthority/6" TargetMode="External" Id="R1e5e1d75a7ac42e3" /><Relationship Type="http://schemas.openxmlformats.org/officeDocument/2006/relationships/hyperlink" Target="https://meteor.aihw.gov.au/content/269949" TargetMode="External" Id="Ra9e8294d2d184355" /><Relationship Type="http://schemas.openxmlformats.org/officeDocument/2006/relationships/hyperlink" Target="https://meteor.aihw.gov.au/content/430643" TargetMode="External" Id="Rb82f615e577444ff" /><Relationship Type="http://schemas.openxmlformats.org/officeDocument/2006/relationships/hyperlink" Target="https://meteor.aihw.gov.au/content/686603" TargetMode="External" Id="R679fee5147d541a7" /><Relationship Type="http://schemas.openxmlformats.org/officeDocument/2006/relationships/hyperlink" Target="https://meteor.aihw.gov.au/content/459938" TargetMode="External" Id="R0e7a31fc12914f32" /><Relationship Type="http://schemas.openxmlformats.org/officeDocument/2006/relationships/hyperlink" Target="https://meteor.aihw.gov.au/content/430643" TargetMode="External" Id="R6d049e8bc27d436d" /><Relationship Type="http://schemas.openxmlformats.org/officeDocument/2006/relationships/hyperlink" Target="https://meteor.aihw.gov.au/content/686603" TargetMode="External" Id="R16e8c30be8034489" /><Relationship Type="http://schemas.openxmlformats.org/officeDocument/2006/relationships/hyperlink" Target="https://meteor.aihw.gov.au/content/482409" TargetMode="External" Id="R1c2f45fd71cd47ba" /><Relationship Type="http://schemas.openxmlformats.org/officeDocument/2006/relationships/hyperlink" Target="https://meteor.aihw.gov.au/content/430643" TargetMode="External" Id="R832185536efa487a" /><Relationship Type="http://schemas.openxmlformats.org/officeDocument/2006/relationships/hyperlink" Target="https://meteor.aihw.gov.au/content/686603" TargetMode="External" Id="Rd7577bb589d54e1a" /><Relationship Type="http://schemas.openxmlformats.org/officeDocument/2006/relationships/hyperlink" Target="https://meteor.aihw.gov.au/content/602543" TargetMode="External" Id="R17a393bf441f4da1" /><Relationship Type="http://schemas.openxmlformats.org/officeDocument/2006/relationships/hyperlink" Target="https://meteor.aihw.gov.au/content/430643" TargetMode="External" Id="Rc31d05d85b34494a" /><Relationship Type="http://schemas.openxmlformats.org/officeDocument/2006/relationships/hyperlink" Target="https://meteor.aihw.gov.au/content/686603" TargetMode="External" Id="Rb22bfadece944827" /><Relationship Type="http://schemas.openxmlformats.org/officeDocument/2006/relationships/hyperlink" Target="https://meteor.aihw.gov.au/content/269949" TargetMode="External" Id="R9284b0daa948449b" /><Relationship Type="http://schemas.openxmlformats.org/officeDocument/2006/relationships/hyperlink" Target="https://meteor.aihw.gov.au/content/430643" TargetMode="External" Id="Rd2434048d44446c4" /><Relationship Type="http://schemas.openxmlformats.org/officeDocument/2006/relationships/hyperlink" Target="https://meteor.aihw.gov.au/content/686603" TargetMode="External" Id="Rfe796d4c5cd04c3a" /><Relationship Type="http://schemas.openxmlformats.org/officeDocument/2006/relationships/hyperlink" Target="https://meteor.aihw.gov.au/content/441701" TargetMode="External" Id="Re21f592ade3d4ebb" /><Relationship Type="http://schemas.openxmlformats.org/officeDocument/2006/relationships/hyperlink" Target="https://meteor.aihw.gov.au/content/430643" TargetMode="External" Id="R23cc71ff9eb54d13" /><Relationship Type="http://schemas.openxmlformats.org/officeDocument/2006/relationships/hyperlink" Target="https://meteor.aihw.gov.au/content/686603" TargetMode="External" Id="Rd018209e9cc645ee" /><Relationship Type="http://schemas.openxmlformats.org/officeDocument/2006/relationships/hyperlink" Target="https://meteor.aihw.gov.au/content/482409" TargetMode="External" Id="R7c4da4a977784a30" /><Relationship Type="http://schemas.openxmlformats.org/officeDocument/2006/relationships/hyperlink" Target="https://meteor.aihw.gov.au/content/430643" TargetMode="External" Id="R0b0665b6b4674245" /><Relationship Type="http://schemas.openxmlformats.org/officeDocument/2006/relationships/hyperlink" Target="https://meteor.aihw.gov.au/content/686603" TargetMode="External" Id="R911451f8f67e4480" /><Relationship Type="http://schemas.openxmlformats.org/officeDocument/2006/relationships/hyperlink" Target="https://meteor.aihw.gov.au/content/602543" TargetMode="External" Id="R1a4e6f9337644079" /><Relationship Type="http://schemas.openxmlformats.org/officeDocument/2006/relationships/hyperlink" Target="https://meteor.aihw.gov.au/content/430643" TargetMode="External" Id="R2e1270dcfc87453c" /><Relationship Type="http://schemas.openxmlformats.org/officeDocument/2006/relationships/hyperlink" Target="https://meteor.aihw.gov.au/content/686603" TargetMode="External" Id="R304ffedc9b4f4646" /><Relationship Type="http://schemas.openxmlformats.org/officeDocument/2006/relationships/hyperlink" Target="https://meteor.aihw.gov.au/content/410650" TargetMode="External" Id="R2d49abdfd09d4873" /><Relationship Type="http://schemas.openxmlformats.org/officeDocument/2006/relationships/hyperlink" Target="https://meteor.aihw.gov.au/content/430643" TargetMode="External" Id="R7b406c60b42a4e0c" /><Relationship Type="http://schemas.openxmlformats.org/officeDocument/2006/relationships/hyperlink" Target="https://meteor.aihw.gov.au/content/663907" TargetMode="External" Id="Rc4094a816cf7474f" /><Relationship Type="http://schemas.openxmlformats.org/officeDocument/2006/relationships/hyperlink" Target="https://meteor.aihw.gov.au/RegistrationAuthority/12" TargetMode="External" Id="Rf14cb2b00ce34cbe" /><Relationship Type="http://schemas.openxmlformats.org/officeDocument/2006/relationships/hyperlink" Target="https://meteor.aihw.gov.au/RegistrationAuthority/6" TargetMode="External" Id="Rf08865be72564f25" /><Relationship Type="http://schemas.openxmlformats.org/officeDocument/2006/relationships/hyperlink" Target="https://meteor.aihw.gov.au/content/687923" TargetMode="External" Id="R637fbbf663014934" /><Relationship Type="http://schemas.openxmlformats.org/officeDocument/2006/relationships/hyperlink" Target="https://meteor.aihw.gov.au/RegistrationAuthority/12" TargetMode="External" Id="R7ada27de6bca402e" /><Relationship Type="http://schemas.openxmlformats.org/officeDocument/2006/relationships/hyperlink" Target="https://meteor.aihw.gov.au/RegistrationAuthority/6" TargetMode="External" Id="Rb6cd3d15b7e3467c" /><Relationship Type="http://schemas.openxmlformats.org/officeDocument/2006/relationships/hyperlink" Target="https://meteor.aihw.gov.au/content/686346" TargetMode="External" Id="R3e2dc22efda14e02" /><Relationship Type="http://schemas.openxmlformats.org/officeDocument/2006/relationships/hyperlink" Target="https://meteor.aihw.gov.au/RegistrationAuthority/12" TargetMode="External" Id="Raa96ee3efb6e43d8" /><Relationship Type="http://schemas.openxmlformats.org/officeDocument/2006/relationships/hyperlink" Target="https://meteor.aihw.gov.au/RegistrationAuthority/6" TargetMode="External" Id="R940e9abcbb464e5a" /></Relationships>
</file>

<file path=word/_rels/header1.xml.rels>&#65279;<?xml version="1.0" encoding="utf-8"?><Relationships xmlns="http://schemas.openxmlformats.org/package/2006/relationships"><Relationship Type="http://schemas.openxmlformats.org/officeDocument/2006/relationships/image" Target="/media/image.png" Id="R1bdf2b8c7d154172" /></Relationships>
</file>