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25a6c4e8543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97080b0964f6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National Best Endeavours Data Set (NBEDS).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for 2015–16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5fd302d823e44f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d3c1cb3be764576">
              <w:r>
                <w:rPr>
                  <w:rStyle w:val="Hyperlink"/>
                  <w:i/>
                </w:rPr>
                <w:t xml:space="preserve">Australian Institute of Health and Welfare Act 1987</w:t>
              </w:r>
            </w:hyperlink>
            <w:r>
              <w:rPr>
                <w:rStyle w:val="row-content-rich-text"/>
              </w:rPr>
              <w:t xml:space="preserve">, in conjunction with compliance to the </w:t>
            </w:r>
            <w:hyperlink w:history="true" r:id="Rac84e6d25e864138">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99f10c3c44654cea">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5a1b8a871dee4a7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5b3b66c5b5c24941">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DSS/NBEDS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13e8eb0daeb84851">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2015–16 NNAPEDCD can be accessed on the AIHW website at: </w:t>
            </w:r>
            <w:hyperlink w:history="true" r:id="R10bdf1e13f1b4c55">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2017 and this 2018 reporting period, the scope of the indicator has been increased to all public hospitals reporting to the NAPEDC NMDS or the NAPEDC DSS or 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2015–16 and 2016–17 are consistent with data reported for the NNAPEDCD for previous years for individual hospitals. However, as discussed in the Relevance section above, the scope of the indicator has been increased to all public hospitals reporting to the NAPEDC NMDS or the NAPEDC DSS/NBEDS.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2c49d07ac4667">
              <w:r>
                <w:rPr>
                  <w:rStyle w:val="Hyperlink"/>
                </w:rPr>
                <w:t xml:space="preserve">National Healthcare Agreement: PI 19-Selected potentially avoidable GP-type presentations to emergency departments, 2017 QS</w:t>
              </w:r>
            </w:hyperlink>
          </w:p>
          <w:p>
            <w:pPr>
              <w:spacing w:before="0" w:after="0"/>
            </w:pPr>
            <w:r>
              <w:rPr>
                <w:rStyle w:val="row-content"/>
                <w:color w:val="244061"/>
              </w:rPr>
              <w:t xml:space="preserve">       </w:t>
            </w:r>
            <w:hyperlink w:history="true" r:id="Ra8cf560921f341f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6e2b8284134c0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bb66a3ec5aa947f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e38259c2099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2036b51cf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8259c209945a5" /><Relationship Type="http://schemas.openxmlformats.org/officeDocument/2006/relationships/header" Target="/word/header1.xml" Id="Rddaabcfd0f7949cd" /><Relationship Type="http://schemas.openxmlformats.org/officeDocument/2006/relationships/settings" Target="/word/settings.xml" Id="R3b659b980f134fd2" /><Relationship Type="http://schemas.openxmlformats.org/officeDocument/2006/relationships/styles" Target="/word/styles.xml" Id="Rf096b42a7e7c43f1" /><Relationship Type="http://schemas.openxmlformats.org/officeDocument/2006/relationships/hyperlink" Target="https://meteor.aihw.gov.au/RegistrationAuthority/12" TargetMode="External" Id="R95a97080b0964f6a" /><Relationship Type="http://schemas.openxmlformats.org/officeDocument/2006/relationships/numbering" Target="/word/numbering.xml" Id="Rc23635d312fe4507" /><Relationship Type="http://schemas.openxmlformats.org/officeDocument/2006/relationships/hyperlink" Target="http://www.legislation.gov.au/Series/C2004A03450" TargetMode="External" Id="R85fd302d823e44f4" /><Relationship Type="http://schemas.openxmlformats.org/officeDocument/2006/relationships/hyperlink" Target="https://www.legislation.gov.au/Series/C2004A03450" TargetMode="External" Id="Rcd3c1cb3be764576" /><Relationship Type="http://schemas.openxmlformats.org/officeDocument/2006/relationships/hyperlink" Target="https://www.legislation.gov.au/Series/C2004A03712" TargetMode="External" Id="Rac84e6d25e864138" /><Relationship Type="http://schemas.openxmlformats.org/officeDocument/2006/relationships/hyperlink" Target="http://www.aihw.gov.au" TargetMode="External" Id="R99f10c3c44654cea" /><Relationship Type="http://schemas.openxmlformats.org/officeDocument/2006/relationships/hyperlink" Target="https://meteor.aihw.gov.au/content/182135" TargetMode="External" Id="R5a1b8a871dee4a72" /><Relationship Type="http://schemas.openxmlformats.org/officeDocument/2006/relationships/hyperlink" Target="http://www.aihw.gov.au/hospitals/" TargetMode="External" Id="R5b3b66c5b5c24941" /><Relationship Type="http://schemas.openxmlformats.org/officeDocument/2006/relationships/hyperlink" Target="https://meteor.aihw.gov.au/content/268110" TargetMode="External" Id="R13e8eb0daeb84851" /><Relationship Type="http://schemas.openxmlformats.org/officeDocument/2006/relationships/hyperlink" Target="https://meteor.aihw.gov.au/content/659714" TargetMode="External" Id="R10bdf1e13f1b4c55" /><Relationship Type="http://schemas.openxmlformats.org/officeDocument/2006/relationships/hyperlink" Target="https://meteor.aihw.gov.au/content/630444" TargetMode="External" Id="R98f2c49d07ac4667" /><Relationship Type="http://schemas.openxmlformats.org/officeDocument/2006/relationships/hyperlink" Target="https://meteor.aihw.gov.au/RegistrationAuthority/12" TargetMode="External" Id="Ra8cf560921f341f7" /><Relationship Type="http://schemas.openxmlformats.org/officeDocument/2006/relationships/hyperlink" Target="https://meteor.aihw.gov.au/content/658497" TargetMode="External" Id="Rc36e2b8284134c05" /><Relationship Type="http://schemas.openxmlformats.org/officeDocument/2006/relationships/hyperlink" Target="https://meteor.aihw.gov.au/RegistrationAuthority/12" TargetMode="External" Id="Rbb66a3ec5aa947f5" /></Relationships>
</file>

<file path=word/_rels/header1.xml.rels>&#65279;<?xml version="1.0" encoding="utf-8"?><Relationships xmlns="http://schemas.openxmlformats.org/package/2006/relationships"><Relationship Type="http://schemas.openxmlformats.org/officeDocument/2006/relationships/image" Target="/media/image.png" Id="R1a72036b51cf4cdb" /></Relationships>
</file>