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ab77ac584f4a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ea9dcaf5e4d64">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 site audits and review audits within the previous financial year.</w:t>
            </w:r>
          </w:p>
          <w:p>
            <w:pPr>
              <w:pStyle w:val="ListParagraph"/>
              <w:numPr>
                <w:ilvl w:val="0"/>
                <w:numId w:val="2"/>
              </w:numPr>
            </w:pPr>
            <w:r>
              <w:rPr>
                <w:rStyle w:val="row-content-rich-text"/>
              </w:rPr>
              <w:t xml:space="preserve">Remoteness data for 2011–12 are not directly comparable to remoteness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hyperlink w:history="true" r:id="Raa6832dfd14d47ac">
              <w:r>
                <w:rPr>
                  <w:rStyle w:val="Hyperlink"/>
                  <w:i/>
                </w:rPr>
                <w:t xml:space="preserve">Aged Care Act 1997</w:t>
              </w:r>
            </w:hyperlink>
            <w:r>
              <w:rPr>
                <w:rStyle w:val="row-content-rich-text"/>
              </w:rPr>
              <w:t xml:space="preserve">.</w:t>
            </w:r>
          </w:p>
          <w:p>
            <w:pPr/>
            <w:r>
              <w:rPr>
                <w:rStyle w:val="row-content-rich-text"/>
              </w:rPr>
              <w:t xml:space="preserve">The tables for this indicator were prepared by the Australian Aged Care Quality Agency and quality assessed by the Australian Institute of Health and Welfare (AIHW). The data quality statement was developed by the Department of Social Services (DSS) and includes comments from the AIHW. The AIHW did not have the relevant data 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restricted to re-accreditation site audits and review audits within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Australian Aged Care Quality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 site audits and review audits within the previous financial year.</w:t>
            </w:r>
          </w:p>
          <w:p>
            <w:pPr>
              <w:spacing w:after="160"/>
            </w:pPr>
            <w:r>
              <w:rPr>
                <w:rStyle w:val="row-content-rich-text"/>
              </w:rPr>
              <w:t xml:space="preserve">Terms used in the dataset may be ambiguous because a user may not understand that the data have limitations as a proxy measure of the industry’s performance.</w:t>
            </w:r>
          </w:p>
          <w:p>
            <w:pPr/>
            <w:r>
              <w:rPr>
                <w:rStyle w:val="row-content-rich-text"/>
              </w:rPr>
              <w:t xml:space="preserve">The </w:t>
            </w:r>
            <w:hyperlink w:history="true" r:id="R9412c89b917d4cd0">
              <w:r>
                <w:rPr>
                  <w:rStyle w:val="Hyperlink"/>
                  <w:i/>
                </w:rPr>
                <w:t xml:space="preserve">Report on government services</w:t>
              </w:r>
            </w:hyperlink>
            <w:r>
              <w:rPr>
                <w:rStyle w:val="row-content-rich-text"/>
              </w:rPr>
              <w:t xml:space="preserve">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and those where a review audit was undertaken. Each year there are more assessment contacts (including unannounced visits) than there are audits. Review audits occur where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point-in-time assessment of performance, as accreditation generally follows a 3-yearly cycle. The audit data can be up to 3 years old.</w:t>
            </w:r>
          </w:p>
          <w:p>
            <w:pPr>
              <w:spacing w:after="160"/>
            </w:pPr>
            <w:r>
              <w:rPr>
                <w:rStyle w:val="row-content-rich-text"/>
              </w:rPr>
              <w:t xml:space="preserve">A pilot program has commenced whereby residential aged care homes in the pilot program are eligible for 5-year re-accreditation. During the period 2015–16 there were 9 homes, and during 2016–17 there were 4 homes that received 5-year re-accreditation. These homes are included in this indicator with homes that achieved 3-year re-accreditation.</w:t>
            </w:r>
          </w:p>
          <w:p>
            <w:pPr>
              <w:spacing w:after="160"/>
            </w:pPr>
            <w:r>
              <w:rPr>
                <w:rStyle w:val="row-content-rich-text"/>
              </w:rPr>
              <w:t xml:space="preserve">A limitation in the data is that they are only for re-accreditation decisions made during the financial year.</w:t>
            </w:r>
          </w:p>
          <w:p>
            <w:pPr/>
            <w:r>
              <w:rPr>
                <w:rStyle w:val="row-content-rich-text"/>
              </w:rPr>
              <w:t xml:space="preserve">In 2016–17 there were 2,677 accredited residential aged care homes but only 474 re-accreditation decisions were made. In the previous year (2015–16) 1,053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‘Re-accreditation’ is not a decision available following a review audit under the Quality Agency Principles 2013.  The possible decisions available following a review audit of this kind are:</w:t>
            </w:r>
          </w:p>
          <w:p>
            <w:pPr>
              <w:pStyle w:val="ListParagraph"/>
              <w:numPr>
                <w:ilvl w:val="0"/>
                <w:numId w:val="3"/>
              </w:numPr>
            </w:pPr>
            <w:r>
              <w:rPr>
                <w:rStyle w:val="row-content-rich-text"/>
              </w:rPr>
              <w:t xml:space="preserve">to revoke the service’s accreditation</w:t>
            </w:r>
          </w:p>
          <w:p>
            <w:pPr>
              <w:pStyle w:val="ListParagraph"/>
              <w:numPr>
                <w:ilvl w:val="0"/>
                <w:numId w:val="3"/>
              </w:numPr>
            </w:pPr>
            <w:r>
              <w:rPr>
                <w:rStyle w:val="row-content-rich-text"/>
              </w:rPr>
              <w:t xml:space="preserve">not revoke and not vary the period of accreditation</w:t>
            </w:r>
          </w:p>
          <w:p>
            <w:pPr>
              <w:pStyle w:val="ListParagraph"/>
              <w:numPr>
                <w:ilvl w:val="0"/>
                <w:numId w:val="3"/>
              </w:numPr>
            </w:pPr>
            <w:r>
              <w:rPr>
                <w:rStyle w:val="row-content-rich-text"/>
              </w:rPr>
              <w:t xml:space="preserve">not revoke and to vary the period of accreditation.</w:t>
            </w:r>
          </w:p>
          <w:p>
            <w:pPr/>
            <w:r>
              <w:rPr>
                <w:rStyle w:val="row-content-rich-text"/>
              </w:rPr>
              <w:t xml:space="preserve">In 2011, the Australian Bureau of Statistics (ABS) updated the standard geography used in Australia for most data collections from the Australian Standard Geographical Classification to the Australian Statistical Geography Standard.  Also updated at this time were remoteness areas, based on the 2011 ABS Census of Population and Housing.  The new remoteness areas will be referred to as RA 2011, and the previous remoteness areas as RA 2006.  Data for 2011–12 (reported in the previous cycle) were reported for RA 2006.  Data for 2012–13 and subsequent cycles are reported for RA 2011.  The AIHW considers the change from RA 2006 to RA 2011 to be a series break when applied to data supplied for this indicator; therefore remoteness data for 2011–12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003b241d1c4616">
              <w:r>
                <w:rPr>
                  <w:rStyle w:val="Hyperlink"/>
                </w:rPr>
                <w:t xml:space="preserve">National Healthcare Agreement: PI 28-Proportion of residential aged care services that are three year re-accredited, 2017 QS</w:t>
              </w:r>
            </w:hyperlink>
          </w:p>
          <w:p>
            <w:pPr>
              <w:spacing w:before="0" w:after="0"/>
            </w:pPr>
            <w:r>
              <w:rPr>
                <w:rStyle w:val="row-content"/>
                <w:color w:val="244061"/>
              </w:rPr>
              <w:t xml:space="preserve">       </w:t>
            </w:r>
            <w:hyperlink w:history="true" r:id="R7eb2aa7e77464f8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bdebf21f6b54b38">
              <w:r>
                <w:rPr>
                  <w:rStyle w:val="Hyperlink"/>
                </w:rPr>
                <w:t xml:space="preserve">National Healthcare Agreement: PI 28–Proportion of residential aged care services that are three year re-accredited, 2018</w:t>
              </w:r>
            </w:hyperlink>
          </w:p>
          <w:p>
            <w:pPr>
              <w:spacing w:before="0" w:after="0"/>
            </w:pPr>
            <w:r>
              <w:rPr>
                <w:rStyle w:val="row-content"/>
                <w:color w:val="244061"/>
              </w:rPr>
              <w:t xml:space="preserve">       </w:t>
            </w:r>
            <w:hyperlink w:history="true" r:id="Re44bde4d1e484b6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8b9a459efad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001e0cd31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9a459efad4a82" /><Relationship Type="http://schemas.openxmlformats.org/officeDocument/2006/relationships/header" Target="/word/header1.xml" Id="Re82898d95bb64a85" /><Relationship Type="http://schemas.openxmlformats.org/officeDocument/2006/relationships/settings" Target="/word/settings.xml" Id="Ref044cc0370b46e9" /><Relationship Type="http://schemas.openxmlformats.org/officeDocument/2006/relationships/styles" Target="/word/styles.xml" Id="Rb6ab741c3f8c46b1" /><Relationship Type="http://schemas.openxmlformats.org/officeDocument/2006/relationships/hyperlink" Target="https://meteor.aihw.gov.au/RegistrationAuthority/12" TargetMode="External" Id="R3a7ea9dcaf5e4d64" /><Relationship Type="http://schemas.openxmlformats.org/officeDocument/2006/relationships/numbering" Target="/word/numbering.xml" Id="R471a51bbff704227" /><Relationship Type="http://schemas.openxmlformats.org/officeDocument/2006/relationships/hyperlink" Target="https://www.legislation.gov.au/Details/C2016C01052" TargetMode="External" Id="Raa6832dfd14d47ac" /><Relationship Type="http://schemas.openxmlformats.org/officeDocument/2006/relationships/hyperlink" Target="http://www.pc.gov.au/rogs" TargetMode="External" Id="R9412c89b917d4cd0" /><Relationship Type="http://schemas.openxmlformats.org/officeDocument/2006/relationships/hyperlink" Target="https://meteor.aihw.gov.au/content/630520" TargetMode="External" Id="Ref003b241d1c4616" /><Relationship Type="http://schemas.openxmlformats.org/officeDocument/2006/relationships/hyperlink" Target="https://meteor.aihw.gov.au/RegistrationAuthority/12" TargetMode="External" Id="R7eb2aa7e77464f8d" /><Relationship Type="http://schemas.openxmlformats.org/officeDocument/2006/relationships/hyperlink" Target="https://meteor.aihw.gov.au/content/658475" TargetMode="External" Id="R8bdebf21f6b54b38" /><Relationship Type="http://schemas.openxmlformats.org/officeDocument/2006/relationships/hyperlink" Target="https://meteor.aihw.gov.au/RegistrationAuthority/12" TargetMode="External" Id="Re44bde4d1e484b69" /></Relationships>
</file>

<file path=word/_rels/header1.xml.rels>&#65279;<?xml version="1.0" encoding="utf-8"?><Relationships xmlns="http://schemas.openxmlformats.org/package/2006/relationships"><Relationship Type="http://schemas.openxmlformats.org/officeDocument/2006/relationships/image" Target="/media/image.png" Id="R79d001e0cd314860" /></Relationships>
</file>