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ae26932ca4476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3136dfd984f14">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measure of ‘elapsed time’ is used as a proxy for demand for aged care services, however there are many factors that cannot be categorised as time spent ‘waiting’ and not all ‘waiting’ time is included in this measure.</w:t>
            </w:r>
          </w:p>
          <w:p>
            <w:pPr>
              <w:pStyle w:val="ListParagraph"/>
              <w:numPr>
                <w:ilvl w:val="0"/>
                <w:numId w:val="2"/>
              </w:numPr>
            </w:pPr>
            <w:r>
              <w:rPr>
                <w:rStyle w:val="row-content-rich-text"/>
              </w:rPr>
              <w:t xml:space="preserve">Remoteness data for 2011–12 are not directly comparable to remoteness data for 2012–13 and subsequent years.</w:t>
            </w:r>
          </w:p>
          <w:p>
            <w:pPr>
              <w:pStyle w:val="ListParagraph"/>
              <w:numPr>
                <w:ilvl w:val="0"/>
                <w:numId w:val="2"/>
              </w:numPr>
            </w:pPr>
            <w:r>
              <w:rPr>
                <w:rStyle w:val="row-content-rich-text"/>
              </w:rPr>
              <w:t xml:space="preserve">Socio-Economic Indexes for Areas (SEIFA) data for 2012–13 and subsequent years are not directly comparable with SEIFA data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These data are provided to Department of Health (DoH) to administer services under the </w:t>
            </w:r>
            <w:hyperlink w:history="true" r:id="Rcc623a1c8eaf4ab8">
              <w:r>
                <w:rPr>
                  <w:rStyle w:val="Hyperlink"/>
                  <w:i/>
                </w:rPr>
                <w:t xml:space="preserve">Aged Care Act 1997 </w:t>
              </w:r>
            </w:hyperlink>
            <w:r>
              <w:rPr>
                <w:rStyle w:val="row-content-rich-text"/>
              </w:rPr>
              <w:t xml:space="preserve">and the </w:t>
            </w:r>
            <w:hyperlink w:history="true" r:id="Rd75fddfead534de4">
              <w:r>
                <w:rPr>
                  <w:rStyle w:val="Hyperlink"/>
                </w:rPr>
                <w:t xml:space="preserve">Aged Care Principles</w:t>
              </w:r>
            </w:hyperlink>
            <w:r>
              <w:rPr>
                <w:rStyle w:val="row-content-rich-text"/>
              </w:rPr>
              <w:t xml:space="preserve"> and to administer places delivered under the Aboriginal and Torres Strait Islander Aged Care Strategy.</w:t>
            </w:r>
          </w:p>
          <w:p>
            <w:pPr/>
            <w:r>
              <w:rPr>
                <w:rStyle w:val="row-content-rich-text"/>
              </w:rPr>
              <w:t xml:space="preserve">The tables for this indicator were prepared by the DoH and quality-assessed by the Australian Institute of Health and Welfare (AIHW). The data quality statement was developed by the then Australian Government Department of Health and Ageing (DoHA) in 2012 and includes comments from the AIHW. The AIHW did not have all of the relevant datasets required to independently verify the data tables for this indicator. For further information see the </w:t>
            </w:r>
            <w:hyperlink w:history="true" r:id="R61242bfe5ea94fca">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f6a9b75eec8a47e4">
              <w:r>
                <w:rPr>
                  <w:rStyle w:val="Hyperlink"/>
                  <w:i/>
                </w:rPr>
                <w:t xml:space="preserve">Report on Government Services</w:t>
              </w:r>
            </w:hyperlink>
            <w:r>
              <w:rPr>
                <w:rStyle w:val="row-content-rich-text"/>
              </w:rPr>
              <w:t xml:space="preserve">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is intended to inform on the objective of accessibility to aged care services. A key output of accessibility is reduced waiting times. However, a reliable and consistent direct measure of waiting times for aged care is not yet available so the measure of elapsed time is utilised.</w:t>
            </w:r>
          </w:p>
          <w:p>
            <w:pPr>
              <w:spacing w:after="160"/>
            </w:pPr>
            <w:r>
              <w:rPr>
                <w:rStyle w:val="row-content-rich-text"/>
              </w:rPr>
              <w:t xml:space="preserve">Care should be used in interpreting this measure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pStyle w:val="ListParagraph"/>
              <w:numPr>
                <w:ilvl w:val="0"/>
                <w:numId w:val="3"/>
              </w:numPr>
            </w:pPr>
            <w:r>
              <w:rPr>
                <w:rStyle w:val="row-content-rich-text"/>
              </w:rPr>
              <w:t xml:space="preserve">care placement offers that are not accepted</w:t>
            </w:r>
          </w:p>
          <w:p>
            <w:pPr>
              <w:pStyle w:val="ListParagraph"/>
              <w:numPr>
                <w:ilvl w:val="0"/>
                <w:numId w:val="3"/>
              </w:numPr>
            </w:pPr>
            <w:r>
              <w:rPr>
                <w:rStyle w:val="row-content-rich-text"/>
              </w:rPr>
              <w:t xml:space="preserve">the availability of alternative community care, informal care and respite services</w:t>
            </w:r>
          </w:p>
          <w:p>
            <w:pPr>
              <w:pStyle w:val="ListParagraph"/>
              <w:numPr>
                <w:ilvl w:val="0"/>
                <w:numId w:val="3"/>
              </w:numPr>
            </w:pPr>
            <w:r>
              <w:rPr>
                <w:rStyle w:val="row-content-rich-text"/>
              </w:rPr>
              <w:t xml:space="preserve">variations in care fee regimes that influence client choice of preferred service</w:t>
            </w:r>
          </w:p>
          <w:p>
            <w:pPr>
              <w:pStyle w:val="ListParagraph"/>
              <w:numPr>
                <w:ilvl w:val="0"/>
                <w:numId w:val="3"/>
              </w:numPr>
            </w:pPr>
            <w:r>
              <w:rPr>
                <w:rStyle w:val="row-content-rich-text"/>
              </w:rPr>
              <w:t xml:space="preserve">perceptions about quality of care that influence client choice of preferred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spacing w:after="160"/>
            </w:pPr>
            <w:r>
              <w:rPr>
                <w:rStyle w:val="row-content-rich-text"/>
              </w:rPr>
              <w:t xml:space="preserve">The data for elapsed time by state and territory, and by Indigenous status, are derived from the location of the aged care service.</w:t>
            </w:r>
          </w:p>
          <w:p>
            <w:pPr/>
            <w:r>
              <w:rPr>
                <w:rStyle w:val="row-content-rich-text"/>
              </w:rPr>
              <w:t xml:space="preserve">The data for elapsed time by remoteness are derived from the recipient’s postcode at time of assessment and exclude some postcodes which cannot be matched to a remoteness area.</w:t>
            </w:r>
            <w:r>
              <w:br/>
            </w:r>
            <w:r>
              <w:rPr>
                <w:rStyle w:val="row-content-rich-text"/>
              </w:rPr>
              <w:t xml:space="preserve">Socio-Economic Indexes for Area (SEIFA) quintiles are derived from the recipient’s postcode at time of assessment. Recipient’s postcodes not found in the Australian Bureau of Statistics's (ABS) SEIFA data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state/territory-level data items used to construct this performance indicator are consistent and comparable over time. As noted in the Accuracy section above, there is variance between the state/territory-level data items and the data for remoteness and SEIFA. This occurs for 2011–12 and subsequent years.</w:t>
            </w:r>
          </w:p>
          <w:p>
            <w:pPr>
              <w:spacing w:after="160"/>
            </w:pPr>
            <w:r>
              <w:rPr>
                <w:rStyle w:val="row-content-rich-text"/>
              </w:rPr>
              <w:t xml:space="preserve">For 2011–12 and subsequent years, cells have been suppressed to protect confidentiality where the presentation could identify an aged care recipient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w:t>
            </w:r>
          </w:p>
          <w:p>
            <w:pPr>
              <w:pStyle w:val="ListParagraph"/>
              <w:numPr>
                <w:ilvl w:val="0"/>
                <w:numId w:val="4"/>
              </w:numPr>
            </w:pPr>
            <w:r>
              <w:rPr>
                <w:rStyle w:val="row-content-rich-text"/>
              </w:rPr>
              <w:t xml:space="preserve">counts were suppressed where the number was less than 5</w:t>
            </w:r>
          </w:p>
          <w:p>
            <w:pPr>
              <w:pStyle w:val="ListParagraph"/>
              <w:numPr>
                <w:ilvl w:val="0"/>
                <w:numId w:val="4"/>
              </w:numPr>
            </w:pPr>
            <w:r>
              <w:rPr>
                <w:rStyle w:val="row-content-rich-text"/>
              </w:rPr>
              <w:t xml:space="preserve">consequential suppression was applied.</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 Data for 2011–12 were reported for RA 2006. Data for 2012–13 and subsequent years are reported for RA 2011. The AIHW considers the change from RA 2006 to RA 2011 to be a series break when applied to data supplied for this indicator, therefore remoteness data for 2011–12 are not directly comparable to remoteness data for 2012–13 and subsequent years.</w:t>
            </w:r>
          </w:p>
          <w:p>
            <w:pPr/>
            <w:r>
              <w:rPr>
                <w:rStyle w:val="row-content-rich-text"/>
              </w:rPr>
              <w:t xml:space="preserve">Data for 2011–12 for SEIFA quintiles were reported using SEIFA 2006. Data for 2012–13 and subsequent years for SEIFA quintiles and deciles are reported using SEIFA 2011. The AIHW considers the change from SEIFA 2006 to SEIFA 2011 to be a series break when applied to data supplied for this indicator, therefore SEIFA data for 2012–13 and subsequent years are not directly comparable with SEIFA data for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42a31e2f8e4e31">
              <w:r>
                <w:rPr>
                  <w:rStyle w:val="Hyperlink"/>
                </w:rPr>
                <w:t xml:space="preserve">National Healthcare Agreement: PI 30-Elapsed time for aged care services, 2017 QS</w:t>
              </w:r>
            </w:hyperlink>
          </w:p>
          <w:p>
            <w:pPr>
              <w:spacing w:before="0" w:after="0"/>
            </w:pPr>
            <w:r>
              <w:rPr>
                <w:rStyle w:val="row-content"/>
                <w:color w:val="244061"/>
              </w:rPr>
              <w:t xml:space="preserve">       </w:t>
            </w:r>
            <w:hyperlink w:history="true" r:id="R2c48105d3ee54edc">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eec5018deb94096">
              <w:r>
                <w:rPr>
                  <w:rStyle w:val="Hyperlink"/>
                </w:rPr>
                <w:t xml:space="preserve">National Healthcare Agreement: PI 30–Elapsed time for aged care services, 2018</w:t>
              </w:r>
            </w:hyperlink>
          </w:p>
          <w:p>
            <w:pPr>
              <w:spacing w:before="0" w:after="0"/>
            </w:pPr>
            <w:r>
              <w:rPr>
                <w:rStyle w:val="row-content"/>
                <w:color w:val="244061"/>
              </w:rPr>
              <w:t xml:space="preserve">       </w:t>
            </w:r>
            <w:hyperlink w:history="true" r:id="R666e7e8b15d84b5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cd2786c5991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98c6a28a3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2786c59914a11" /><Relationship Type="http://schemas.openxmlformats.org/officeDocument/2006/relationships/header" Target="/word/header1.xml" Id="R0551d65587df4a38" /><Relationship Type="http://schemas.openxmlformats.org/officeDocument/2006/relationships/settings" Target="/word/settings.xml" Id="Rf349622f3dc74cc3" /><Relationship Type="http://schemas.openxmlformats.org/officeDocument/2006/relationships/styles" Target="/word/styles.xml" Id="R24619f04c5d54fac" /><Relationship Type="http://schemas.openxmlformats.org/officeDocument/2006/relationships/hyperlink" Target="https://meteor.aihw.gov.au/RegistrationAuthority/12" TargetMode="External" Id="Rd713136dfd984f14" /><Relationship Type="http://schemas.openxmlformats.org/officeDocument/2006/relationships/numbering" Target="/word/numbering.xml" Id="R404e7e1d9790488b" /><Relationship Type="http://schemas.openxmlformats.org/officeDocument/2006/relationships/hyperlink" Target="https://www.legislation.gov.au/Details/C2016C01052" TargetMode="External" Id="Rcc623a1c8eaf4ab8" /><Relationship Type="http://schemas.openxmlformats.org/officeDocument/2006/relationships/hyperlink" Target="https://agedcare.health.gov.au/publications-and-articles/legislation" TargetMode="External" Id="Rd75fddfead534de4" /><Relationship Type="http://schemas.openxmlformats.org/officeDocument/2006/relationships/hyperlink" Target="http://www.aihw.gov.au" TargetMode="External" Id="R61242bfe5ea94fca" /><Relationship Type="http://schemas.openxmlformats.org/officeDocument/2006/relationships/hyperlink" Target="http://www.pc.gov.au/rogs" TargetMode="External" Id="Rf6a9b75eec8a47e4" /><Relationship Type="http://schemas.openxmlformats.org/officeDocument/2006/relationships/hyperlink" Target="https://meteor.aihw.gov.au/content/630523" TargetMode="External" Id="R8842a31e2f8e4e31" /><Relationship Type="http://schemas.openxmlformats.org/officeDocument/2006/relationships/hyperlink" Target="https://meteor.aihw.gov.au/RegistrationAuthority/12" TargetMode="External" Id="R2c48105d3ee54edc" /><Relationship Type="http://schemas.openxmlformats.org/officeDocument/2006/relationships/hyperlink" Target="https://meteor.aihw.gov.au/content/658471" TargetMode="External" Id="R6eec5018deb94096" /><Relationship Type="http://schemas.openxmlformats.org/officeDocument/2006/relationships/hyperlink" Target="https://meteor.aihw.gov.au/RegistrationAuthority/12" TargetMode="External" Id="R666e7e8b15d84b5f" /></Relationships>
</file>

<file path=word/_rels/header1.xml.rels>&#65279;<?xml version="1.0" encoding="utf-8"?><Relationships xmlns="http://schemas.openxmlformats.org/package/2006/relationships"><Relationship Type="http://schemas.openxmlformats.org/officeDocument/2006/relationships/image" Target="/media/image.png" Id="R13e98c6a28a346b1" /></Relationships>
</file>