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103c8da9ae42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cb09251874a2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From 2012 medical workforce, occupational therapists and psychologist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(DoH) now performs this function. DoH is a federal government agency that has a diverse set of responsibilities reflected in their vision statement: </w:t>
            </w:r>
            <w:hyperlink w:history="true" r:id="R289b33135ca64bc5">
              <w:r>
                <w:rPr>
                  <w:rStyle w:val="Hyperlink"/>
                </w:rPr>
                <w:t xml:space="preserve">Better health and wellbeing for all Australians, now and for future generations</w:t>
              </w:r>
            </w:hyperlink>
            <w:r>
              <w:rPr>
                <w:rStyle w:val="row-content-rich-text"/>
              </w:rPr>
              <w:t xml:space="preserve">.</w:t>
            </w:r>
          </w:p>
          <w:p>
            <w:pPr>
              <w:spacing w:after="160"/>
            </w:pPr>
            <w:r>
              <w:rPr>
                <w:rStyle w:val="row-content-rich-text"/>
              </w:rPr>
              <w:t xml:space="preserve">DoH receives registration and survey data from the AHPRA. The registration and workforce survey data are combined, cleansed and adjusted for non-response to form the NHWDS, and the findings reported by profession. DoH is the data custodian of the NHWDS. These data are used for workforce planning, monitoring and reporting.</w:t>
            </w:r>
          </w:p>
          <w:p>
            <w:pPr/>
            <w:r>
              <w:rPr>
                <w:rStyle w:val="row-content-rich-text"/>
              </w:rPr>
              <w:t xml:space="preserve">DoH provide a copy of the database to states and territories and the AIHW.</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2016</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2016</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2016</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w:t>
            </w:r>
          </w:p>
          <w:p>
            <w:pPr/>
            <w:r>
              <w:rPr>
                <w:rStyle w:val="row-content-rich-text"/>
              </w:rPr>
              <w:t xml:space="preserve">Practitioners with limited registration are due for renewal on the anniversary of their first registration and can thus renew and complete a survey at any time through the year.</w:t>
            </w:r>
            <w:r>
              <w:br/>
            </w: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1b744998269d48d9">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2016:</w:t>
            </w:r>
            <w:r>
              <w:br/>
            </w:r>
            <w:r>
              <w:rPr>
                <w:rStyle w:val="row-content-rich-text"/>
              </w:rPr>
              <w:t xml:space="preserve">The NHWDS: medical practitioners 2016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2016.</w:t>
            </w:r>
          </w:p>
          <w:p>
            <w:pPr>
              <w:spacing w:after="160"/>
            </w:pPr>
            <w:r>
              <w:rPr>
                <w:rStyle w:val="row-content-rich-text"/>
              </w:rPr>
              <w:t xml:space="preserve">National Health Workforce Data Set: nurses and midwives 2016:</w:t>
            </w:r>
            <w:r>
              <w:br/>
            </w:r>
            <w:r>
              <w:rPr>
                <w:rStyle w:val="row-content-rich-text"/>
              </w:rPr>
              <w:t xml:space="preserve">The NHWDS: nurses and midwives 2016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2016.</w:t>
            </w:r>
          </w:p>
          <w:p>
            <w:pPr>
              <w:spacing w:after="160"/>
            </w:pPr>
            <w:r>
              <w:rPr>
                <w:rStyle w:val="row-content-rich-text"/>
              </w:rPr>
              <w:t xml:space="preserve">National Health Workforce Data Set: allied health practitioners 2016:</w:t>
            </w:r>
            <w:r>
              <w:br/>
            </w:r>
            <w:r>
              <w:rPr>
                <w:rStyle w:val="row-content-rich-text"/>
              </w:rPr>
              <w:t xml:space="preserve">The NHWDS: allied health practitioners 2016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2016.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2016.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2016</w:t>
            </w:r>
            <w:r>
              <w:rPr>
                <w:rStyle w:val="row-content-rich-text"/>
              </w:rPr>
              <w:t xml:space="preserve">: the overall response rate (excludes provisional registrants) of medical practitioners for 2015 was 94.6%.</w:t>
            </w:r>
          </w:p>
          <w:p>
            <w:pPr>
              <w:pStyle w:val="ListParagraph"/>
              <w:numPr>
                <w:ilvl w:val="0"/>
                <w:numId w:val="3"/>
              </w:numPr>
            </w:pPr>
            <w:r>
              <w:rPr>
                <w:rStyle w:val="row-content-rich-text"/>
                <w:i/>
              </w:rPr>
              <w:t xml:space="preserve">National Health Workforce Data Set: nurses and midwives 2016</w:t>
            </w:r>
            <w:r>
              <w:rPr>
                <w:rStyle w:val="row-content-rich-text"/>
              </w:rPr>
              <w:t xml:space="preserve">: the overall response rate of nurses and midwives for 2016 was 96.5%.</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rPr>
              <w:t xml:space="preserve"> </w:t>
            </w:r>
          </w:p>
          <w:p>
            <w:pPr>
              <w:pStyle w:val="ListParagraph"/>
              <w:numPr>
                <w:ilvl w:val="0"/>
                <w:numId w:val="4"/>
              </w:numPr>
            </w:pPr>
            <w:r>
              <w:rPr>
                <w:rStyle w:val="row-content-rich-text"/>
              </w:rPr>
              <w:t xml:space="preserve">Enhanced geocoding methods were applied, which resulted in improved location data, and supports a more granular analysis of the geographic distribution of the health workforce.</w:t>
            </w:r>
          </w:p>
          <w:p>
            <w:pPr>
              <w:pStyle w:val="ListParagraph"/>
              <w:numPr>
                <w:ilvl w:val="0"/>
                <w:numId w:val="4"/>
              </w:numPr>
            </w:pPr>
            <w:r>
              <w:rPr>
                <w:rStyle w:val="row-content-rich-text"/>
              </w:rPr>
              <w:t xml:space="preserve">It was decided that as health professionals with non-practising registration were not legally permitted to practice under national law, records where a respondent with non-practising registration reported themselves as being employed in the profession in Australia were amended from being 'employed' to 'not employed'.</w:t>
            </w:r>
          </w:p>
          <w:p>
            <w:pPr>
              <w:spacing w:after="160"/>
            </w:pPr>
            <w:r>
              <w:rPr>
                <w:rStyle w:val="row-content-rich-text"/>
              </w:rPr>
              <w:t xml:space="preserve">These amended records included a small number of respondents who reported working in administration, teaching or research, and a small number of respondents whose registration status had changed between data provision and data extraction (for example where a respondent had retired subsequent to providing survey data).</w:t>
            </w:r>
          </w:p>
          <w:p>
            <w:pPr>
              <w:spacing w:after="160"/>
            </w:pPr>
            <w:r>
              <w:rPr>
                <w:rStyle w:val="row-content-rich-text"/>
              </w:rPr>
              <w:t xml:space="preserve">This change applies to all National Health Workforce Medical, Nursing and Midwifery and Allied Health Profession Data Sets from 2013 to 2016. Note that NHWDS data previously provide by the AIHW (i.e. 2015 and earlier data) include registered non-practising health professionals.</w:t>
            </w:r>
          </w:p>
          <w:p>
            <w:pPr/>
            <w:r>
              <w:rPr>
                <w:rStyle w:val="row-content-rich-text"/>
              </w:rPr>
              <w:t xml:space="preserve">Revised NHWDS releases may vary from original versions due to minor differences in the method of imputation for survey non-response.</w:t>
            </w:r>
            <w:r>
              <w:br/>
            </w:r>
            <w:r>
              <w:rPr>
                <w:rStyle w:val="row-content-rich-text"/>
              </w:rPr>
              <w:t xml:space="preserve">For this indicator, the rates are based on practitioners employed in the medical, allied health and nursing and midwifery workforces, which is consistent with data published in AIHW and DoH's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4b3f6cf2304062">
              <w:r>
                <w:rPr>
                  <w:rStyle w:val="Hyperlink"/>
                </w:rPr>
                <w:t xml:space="preserve">National Healthcare Agreement: PI 33-Full time equivalent employed health practitioners per 1,000 population (by age group), 2017 QS</w:t>
              </w:r>
            </w:hyperlink>
          </w:p>
          <w:p>
            <w:pPr>
              <w:spacing w:before="0" w:after="0"/>
            </w:pPr>
            <w:r>
              <w:rPr>
                <w:rStyle w:val="row-content"/>
                <w:color w:val="244061"/>
              </w:rPr>
              <w:t xml:space="preserve">       </w:t>
            </w:r>
            <w:hyperlink w:history="true" r:id="R85a21e220e56461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d45c08fe37f464f">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1b7001e6716a404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78421ec42b2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681597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e8da8eda9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421ec42b24f4e" /><Relationship Type="http://schemas.openxmlformats.org/officeDocument/2006/relationships/header" Target="/word/header1.xml" Id="R05cc9df828544052" /><Relationship Type="http://schemas.openxmlformats.org/officeDocument/2006/relationships/settings" Target="/word/settings.xml" Id="Rd69567c3f7a5473a" /><Relationship Type="http://schemas.openxmlformats.org/officeDocument/2006/relationships/styles" Target="/word/styles.xml" Id="R23c7a7704d4547db" /><Relationship Type="http://schemas.openxmlformats.org/officeDocument/2006/relationships/hyperlink" Target="https://meteor.aihw.gov.au/RegistrationAuthority/12" TargetMode="External" Id="R83acb09251874a21" /><Relationship Type="http://schemas.openxmlformats.org/officeDocument/2006/relationships/numbering" Target="/word/numbering.xml" Id="R99a635f3340a4b49" /><Relationship Type="http://schemas.openxmlformats.org/officeDocument/2006/relationships/hyperlink" Target="http://www.health.gov.au/internet/main/publishing.nsf/Content/annual-report-1415-toc~14-15-our-vision" TargetMode="External" Id="R289b33135ca64bc5" /><Relationship Type="http://schemas.openxmlformats.org/officeDocument/2006/relationships/hyperlink" Target="http://www.aihw.gov.au" TargetMode="External" Id="R1b744998269d48d9" /><Relationship Type="http://schemas.openxmlformats.org/officeDocument/2006/relationships/hyperlink" Target="https://meteor.aihw.gov.au/content/630529" TargetMode="External" Id="Rb04b3f6cf2304062" /><Relationship Type="http://schemas.openxmlformats.org/officeDocument/2006/relationships/hyperlink" Target="https://meteor.aihw.gov.au/RegistrationAuthority/12" TargetMode="External" Id="R85a21e220e564612" /><Relationship Type="http://schemas.openxmlformats.org/officeDocument/2006/relationships/hyperlink" Target="https://meteor.aihw.gov.au/content/658465" TargetMode="External" Id="R2d45c08fe37f464f" /><Relationship Type="http://schemas.openxmlformats.org/officeDocument/2006/relationships/hyperlink" Target="https://meteor.aihw.gov.au/RegistrationAuthority/12" TargetMode="External" Id="R1b7001e6716a4047" /></Relationships>
</file>

<file path=word/_rels/header1.xml.rels>&#65279;<?xml version="1.0" encoding="utf-8"?><Relationships xmlns="http://schemas.openxmlformats.org/package/2006/relationships"><Relationship Type="http://schemas.openxmlformats.org/officeDocument/2006/relationships/image" Target="/media/image.png" Id="Rc75e8da8eda94dde" /></Relationships>
</file>