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ae5405ab5943df" /></Relationships>
</file>

<file path=word/document.xml><?xml version="1.0" encoding="utf-8"?>
<w:document xmlns:r="http://schemas.openxmlformats.org/officeDocument/2006/relationships" xmlns:w="http://schemas.openxmlformats.org/wordprocessingml/2006/main">
  <w:body>
    <w:p>
      <w:pPr>
        <w:pStyle w:val="Title"/>
      </w:pPr>
      <w:r>
        <w:t>Service type outlet—unpaid staff hours worked,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outlet—unpaid staff hours worked,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Unpaid staff hours worked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da98fc5cd4c56">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unpaid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0b74dfb7c74608">
              <w:r>
                <w:rPr>
                  <w:rStyle w:val="Hyperlink"/>
                </w:rPr>
                <w:t xml:space="preserve">Service type outlet—unpaid staff 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b1d8eb93f34c83">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assists in the analysis of staffing inputs and to enable a comparison of the staffing requirements of different service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9e1073a80c459a">
              <w:r>
                <w:rPr>
                  <w:rStyle w:val="Hyperlink"/>
                </w:rPr>
                <w:t xml:space="preserve">Service type outlet—hours worked (volunteer/unpaid staff), total hours NNNNN</w:t>
              </w:r>
            </w:hyperlink>
          </w:p>
          <w:p>
            <w:pPr>
              <w:spacing w:before="0" w:after="0"/>
            </w:pPr>
            <w:r>
              <w:rPr>
                <w:rStyle w:val="row-content"/>
                <w:color w:val="244061"/>
              </w:rPr>
              <w:t xml:space="preserve">       </w:t>
            </w:r>
            <w:hyperlink w:history="true" r:id="R11d8c7e5d27a443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ea71000c13d4217">
              <w:r>
                <w:rPr>
                  <w:rStyle w:val="Hyperlink"/>
                  <w:color w:val="244061"/>
                </w:rPr>
                <w:t xml:space="preserve">Disability</w:t>
              </w:r>
            </w:hyperlink>
            <w:r>
              <w:rPr>
                <w:rStyle w:val="row-content"/>
                <w:color w:val="244061"/>
              </w:rPr>
              <w:t xml:space="preserve">, Superseded 17/12/2017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2c191b2c884bdd">
              <w:r>
                <w:rPr>
                  <w:rStyle w:val="Hyperlink"/>
                </w:rPr>
                <w:t xml:space="preserve">Disability Services NMDS 2017–18</w:t>
              </w:r>
            </w:hyperlink>
          </w:p>
          <w:p>
            <w:pPr>
              <w:spacing w:before="0" w:after="0"/>
            </w:pPr>
            <w:r>
              <w:rPr>
                <w:rStyle w:val="row-content"/>
                <w:color w:val="244061"/>
              </w:rPr>
              <w:t xml:space="preserve">       </w:t>
            </w:r>
            <w:hyperlink w:history="true" r:id="R7ffd40686b3946f2">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hours worked by 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46533f5e1ba24028">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942b45c3b48f45a6">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This data element is collected twice within the Disability Services National Minimum Data Set (DS NMDS):</w:t>
            </w:r>
          </w:p>
          <w:p>
            <w:pPr>
              <w:pStyle w:val="ListParagraph"/>
              <w:numPr>
                <w:ilvl w:val="0"/>
                <w:numId w:val="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volunteer/unpaid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9b2e211c1e64869">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 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elements 17e–f ‘</w:t>
            </w:r>
            <w:hyperlink w:history="true" r:id="Rf6a4a90a5acc405f">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elements 17e–f ‘</w:t>
            </w:r>
            <w:hyperlink w:history="true" r:id="R23ff7009f65d4634">
              <w:r>
                <w:rPr>
                  <w:rStyle w:val="Hyperlink"/>
                </w:rPr>
                <w:t xml:space="preserve">hours received</w:t>
              </w:r>
            </w:hyperlink>
            <w:r>
              <w:rPr>
                <w:rStyle w:val="row-content"/>
              </w:rPr>
              <w:t xml:space="preserve">’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33b81b76f3d2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680412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38033d94b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81b76f3d24a8c" /><Relationship Type="http://schemas.openxmlformats.org/officeDocument/2006/relationships/header" Target="/word/header1.xml" Id="Rf9161b085d8b45b5" /><Relationship Type="http://schemas.openxmlformats.org/officeDocument/2006/relationships/settings" Target="/word/settings.xml" Id="Rcccd6c28c08143b6" /><Relationship Type="http://schemas.openxmlformats.org/officeDocument/2006/relationships/styles" Target="/word/styles.xml" Id="R8f28633cef094383" /><Relationship Type="http://schemas.openxmlformats.org/officeDocument/2006/relationships/hyperlink" Target="https://meteor.aihw.gov.au/RegistrationAuthority/16" TargetMode="External" Id="R5d7da98fc5cd4c56" /><Relationship Type="http://schemas.openxmlformats.org/officeDocument/2006/relationships/hyperlink" Target="https://meteor.aihw.gov.au/content/680410" TargetMode="External" Id="Rf10b74dfb7c74608" /><Relationship Type="http://schemas.openxmlformats.org/officeDocument/2006/relationships/hyperlink" Target="https://meteor.aihw.gov.au/content/270747" TargetMode="External" Id="R61b1d8eb93f34c83" /><Relationship Type="http://schemas.openxmlformats.org/officeDocument/2006/relationships/hyperlink" Target="https://meteor.aihw.gov.au/content/497565" TargetMode="External" Id="Re39e1073a80c459a" /><Relationship Type="http://schemas.openxmlformats.org/officeDocument/2006/relationships/hyperlink" Target="https://meteor.aihw.gov.au/RegistrationAuthority/1" TargetMode="External" Id="R11d8c7e5d27a443a" /><Relationship Type="http://schemas.openxmlformats.org/officeDocument/2006/relationships/hyperlink" Target="https://meteor.aihw.gov.au/RegistrationAuthority/16" TargetMode="External" Id="R8ea71000c13d4217" /><Relationship Type="http://schemas.openxmlformats.org/officeDocument/2006/relationships/hyperlink" Target="https://meteor.aihw.gov.au/content/664954" TargetMode="External" Id="R2d2c191b2c884bdd" /><Relationship Type="http://schemas.openxmlformats.org/officeDocument/2006/relationships/hyperlink" Target="https://meteor.aihw.gov.au/RegistrationAuthority/16" TargetMode="External" Id="R7ffd40686b3946f2" /><Relationship Type="http://schemas.openxmlformats.org/officeDocument/2006/relationships/hyperlink" Target="https://meteor.aihw.gov.au/content/501973" TargetMode="External" Id="R46533f5e1ba24028" /><Relationship Type="http://schemas.openxmlformats.org/officeDocument/2006/relationships/hyperlink" Target="https://meteor.aihw.gov.au/content/502689" TargetMode="External" Id="R942b45c3b48f45a6" /><Relationship Type="http://schemas.openxmlformats.org/officeDocument/2006/relationships/numbering" Target="/word/numbering.xml" Id="R20884e8b1afc4b16" /><Relationship Type="http://schemas.openxmlformats.org/officeDocument/2006/relationships/hyperlink" Target="https://meteor.aihw.gov.au/content/386548" TargetMode="External" Id="R49b2e211c1e64869" /><Relationship Type="http://schemas.openxmlformats.org/officeDocument/2006/relationships/hyperlink" Target="https://meteor.aihw.gov.au/content/323093" TargetMode="External" Id="Rf6a4a90a5acc405f" /><Relationship Type="http://schemas.openxmlformats.org/officeDocument/2006/relationships/hyperlink" Target="https://meteor.aihw.gov.au/content/323093" TargetMode="External" Id="R23ff7009f65d4634" /></Relationships>
</file>

<file path=word/_rels/header1.xml.rels>&#65279;<?xml version="1.0" encoding="utf-8"?><Relationships xmlns="http://schemas.openxmlformats.org/package/2006/relationships"><Relationship Type="http://schemas.openxmlformats.org/officeDocument/2006/relationships/image" Target="/media/image.png" Id="Red838033d94b4369" /></Relationships>
</file>