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21a04205c458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 National Mental Health Establishments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 National Mental Health Establishments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8e7c2726c4b0c">
              <w:r>
                <w:rPr>
                  <w:rStyle w:val="Hyperlink"/>
                  <w:color w:val="244061"/>
                </w:rPr>
                <w:t xml:space="preserve">AIHW Data Quality Statements</w:t>
              </w:r>
            </w:hyperlink>
            <w:r>
              <w:rPr>
                <w:rStyle w:val="row-content"/>
                <w:color w:val="244061"/>
              </w:rPr>
              <w:t xml:space="preserve">, Superseded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c104e83478d5471d">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2015–16.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26039b448b74af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e38d39aed6d4a15">
              <w:r>
                <w:rPr>
                  <w:rStyle w:val="Hyperlink"/>
                  <w:i/>
                </w:rPr>
                <w:t xml:space="preserve">Australian Institute of Health and Welfare Act 1987</w:t>
              </w:r>
            </w:hyperlink>
            <w:r>
              <w:rPr>
                <w:rStyle w:val="row-content-rich-text"/>
              </w:rPr>
              <w:t xml:space="preserve">, in conjunction with compliance to the </w:t>
            </w:r>
            <w:hyperlink w:history="true" r:id="R9db33af774b24649">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626685c0b1e42ae">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7814921622964fe6">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5f65b5f64ffb4379">
              <w:r>
                <w:rPr>
                  <w:rStyle w:val="Hyperlink"/>
                </w:rPr>
                <w:t xml:space="preserve">565694</w:t>
              </w:r>
            </w:hyperlink>
            <w:r>
              <w:rPr>
                <w:rStyle w:val="row-content-rich-text"/>
              </w:rPr>
              <w:t xml:space="preserve">), Residential Mental Health Care NMDS (METeOR ID </w:t>
            </w:r>
            <w:hyperlink w:history="true" r:id="R1c85ab014d6041d2">
              <w:r>
                <w:rPr>
                  <w:rStyle w:val="Hyperlink"/>
                </w:rPr>
                <w:t xml:space="preserve">565678</w:t>
              </w:r>
            </w:hyperlink>
            <w:r>
              <w:rPr>
                <w:rStyle w:val="row-content-rich-text"/>
              </w:rPr>
              <w:t xml:space="preserve">), Admitted patient NMDS (METeOR ID </w:t>
            </w:r>
            <w:hyperlink w:history="true" r:id="R22b44ddfebdd4e02">
              <w:r>
                <w:rPr>
                  <w:rStyle w:val="Hyperlink"/>
                </w:rPr>
                <w:t xml:space="preserve">590510</w:t>
              </w:r>
            </w:hyperlink>
            <w:r>
              <w:rPr>
                <w:rStyle w:val="row-content-rich-text"/>
              </w:rPr>
              <w:t xml:space="preserve">) and Mental Health National Outcomes and Casemix Collection (see </w:t>
            </w:r>
            <w:hyperlink w:history="true" r:id="Rb8c0caf14c534a49">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2015–16, that is, services that were operational between 1 July 2015 and 30 June 2016, or part there of. Data for the 2015–16 reference period were supplied to the AIHW at the beginning of May 2017.</w:t>
            </w:r>
          </w:p>
          <w:p>
            <w:pPr/>
            <w:r>
              <w:rPr>
                <w:rStyle w:val="row-content-rich-text"/>
              </w:rPr>
              <w:t xml:space="preserve">The AIHW publishes data from the NMHED in its online product </w:t>
            </w:r>
            <w:hyperlink w:history="true" r:id="R37c1877a4d9441d7">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9d607f52fffe4002">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51f873004c4d458a">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2014–15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2015–16.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f3a163a266bd4fe9">
              <w:r>
                <w:rPr>
                  <w:rStyle w:val="Hyperlink"/>
                </w:rPr>
                <w:t xml:space="preserve">target population</w:t>
              </w:r>
            </w:hyperlink>
            <w:r>
              <w:rPr>
                <w:rStyle w:val="row-content-rich-text"/>
              </w:rPr>
              <w:t xml:space="preserve"> and </w:t>
            </w:r>
            <w:hyperlink w:history="true" r:id="R7b2ba4c549754611">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4d68046d6d55411d">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FTE staff data was unavailable for one service. Direct care FTE staff for the service are estimated to be around 70 FTE. Time series staffing figures will be impacts. Also, comparisons between staffing and expenditure should be made wiht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There are no know issues with the supplied ACT data, however, ACT Health is underoing a system-wide data review that will be finalised by 31 March 2018.</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c094bf22a943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678b0d12c48f2">
              <w:r>
                <w:rPr>
                  <w:rStyle w:val="Hyperlink"/>
                </w:rPr>
                <w:t xml:space="preserve">Mental Health Establishments NMDS 2014–15: National Mental Health Establishments Database, 2017; Quality Statement</w:t>
              </w:r>
            </w:hyperlink>
          </w:p>
          <w:p>
            <w:pPr>
              <w:pStyle w:val="registration-status"/>
              <w:spacing w:before="0" w:after="0"/>
            </w:pPr>
            <w:hyperlink w:history="true" r:id="Rc51204ff888c4066">
              <w:r>
                <w:rPr>
                  <w:rStyle w:val="Hyperlink"/>
                  <w:color w:val="244061"/>
                </w:rPr>
                <w:t xml:space="preserve">AIHW Data Quality Statements</w:t>
              </w:r>
            </w:hyperlink>
            <w:r>
              <w:rPr>
                <w:rStyle w:val="row-content"/>
                <w:color w:val="244061"/>
              </w:rPr>
              <w:t xml:space="preserve">, Superseded 29/01/2018</w:t>
            </w:r>
          </w:p>
          <w:p>
            <w:r>
              <w:br/>
            </w:r>
            <w:r>
              <w:rPr>
                <w:rStyle w:val="row-content"/>
              </w:rPr>
              <w:t xml:space="preserve">Has been superseded by </w:t>
            </w:r>
            <w:hyperlink w:history="true" r:id="R54d16af11dd04d97">
              <w:r>
                <w:rPr>
                  <w:rStyle w:val="Hyperlink"/>
                </w:rPr>
                <w:t xml:space="preserve">Mental Health Establishments NMDS 2016–17: National Mental Health Establishments Database, 2019; Quality Statement</w:t>
              </w:r>
            </w:hyperlink>
          </w:p>
          <w:p>
            <w:pPr>
              <w:pStyle w:val="registration-status"/>
              <w:spacing w:before="0" w:after="0"/>
            </w:pPr>
            <w:hyperlink w:history="true" r:id="Re2407c63a6314917">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04c2429ad1bd49cb">
              <w:r>
                <w:rPr>
                  <w:rStyle w:val="Hyperlink"/>
                </w:rPr>
                <w:t xml:space="preserve">Mental health establishments NMDS 2015-16</w:t>
              </w:r>
            </w:hyperlink>
          </w:p>
          <w:p>
            <w:pPr>
              <w:pStyle w:val="registration-status"/>
              <w:spacing w:before="0" w:after="0"/>
            </w:pPr>
            <w:hyperlink w:history="true" r:id="R2b7e4d20e32a47f4">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b81d4cb88b62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1e2f77808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d4cb88b6242ff" /><Relationship Type="http://schemas.openxmlformats.org/officeDocument/2006/relationships/header" Target="/word/header1.xml" Id="R02fcae56175d4880" /><Relationship Type="http://schemas.openxmlformats.org/officeDocument/2006/relationships/settings" Target="/word/settings.xml" Id="Rdc88cafd45da4d24" /><Relationship Type="http://schemas.openxmlformats.org/officeDocument/2006/relationships/styles" Target="/word/styles.xml" Id="Rb18c13b5a8b94d58" /><Relationship Type="http://schemas.openxmlformats.org/officeDocument/2006/relationships/numbering" Target="/word/numbering.xml" Id="R63b12ef868804821" /><Relationship Type="http://schemas.openxmlformats.org/officeDocument/2006/relationships/hyperlink" Target="https://meteor.aihw.gov.au/RegistrationAuthority/5" TargetMode="External" Id="Rc868e7c2726c4b0c" /><Relationship Type="http://schemas.openxmlformats.org/officeDocument/2006/relationships/hyperlink" Target="https://meteor.aihw.gov.au/content/565661" TargetMode="External" Id="Rc104e83478d5471d" /><Relationship Type="http://schemas.openxmlformats.org/officeDocument/2006/relationships/hyperlink" Target="https://www.legislation.gov.au/Series/C2004A03450" TargetMode="External" Id="R026039b448b74af8" /><Relationship Type="http://schemas.openxmlformats.org/officeDocument/2006/relationships/hyperlink" Target="https://www.legislation.gov.au/Series/C2004A03450" TargetMode="External" Id="R8e38d39aed6d4a15" /><Relationship Type="http://schemas.openxmlformats.org/officeDocument/2006/relationships/hyperlink" Target="https://www.legislation.gov.au/Series/C2004A03712" TargetMode="External" Id="R9db33af774b24649" /><Relationship Type="http://schemas.openxmlformats.org/officeDocument/2006/relationships/hyperlink" Target="http://www.aihw.gov.au/" TargetMode="External" Id="Rb626685c0b1e42ae" /><Relationship Type="http://schemas.openxmlformats.org/officeDocument/2006/relationships/hyperlink" Target="https://meteor.aihw.gov.au/content/182135" TargetMode="External" Id="R7814921622964fe6" /><Relationship Type="http://schemas.openxmlformats.org/officeDocument/2006/relationships/hyperlink" Target="https://meteor.aihw.gov.au/content/565694" TargetMode="External" Id="R5f65b5f64ffb4379" /><Relationship Type="http://schemas.openxmlformats.org/officeDocument/2006/relationships/hyperlink" Target="https://meteor.aihw.gov.au/content/565678" TargetMode="External" Id="R1c85ab014d6041d2" /><Relationship Type="http://schemas.openxmlformats.org/officeDocument/2006/relationships/hyperlink" Target="https://meteor.aihw.gov.au/content/590510" TargetMode="External" Id="R22b44ddfebdd4e02" /><Relationship Type="http://schemas.openxmlformats.org/officeDocument/2006/relationships/hyperlink" Target="http://amhocn.org/home/useful-resources/national-outcomes-and-casemix-collection-nocc" TargetMode="External" Id="Rb8c0caf14c534a49" /><Relationship Type="http://schemas.openxmlformats.org/officeDocument/2006/relationships/hyperlink" Target="https://www.aihw.gov.au/mhsa" TargetMode="External" Id="R37c1877a4d9441d7" /><Relationship Type="http://schemas.openxmlformats.org/officeDocument/2006/relationships/hyperlink" Target="https://www.aihw.gov.au/mhsa" TargetMode="External" Id="R9d607f52fffe4002" /><Relationship Type="http://schemas.openxmlformats.org/officeDocument/2006/relationships/hyperlink" Target="https://meteor.aihw.gov.au/content/181162" TargetMode="External" Id="R51f873004c4d458a" /><Relationship Type="http://schemas.openxmlformats.org/officeDocument/2006/relationships/hyperlink" Target="https://meteor.aihw.gov.au/content/493010" TargetMode="External" Id="Rf3a163a266bd4fe9" /><Relationship Type="http://schemas.openxmlformats.org/officeDocument/2006/relationships/hyperlink" Target="https://meteor.aihw.gov.au/content/288889" TargetMode="External" Id="R7b2ba4c549754611" /><Relationship Type="http://schemas.openxmlformats.org/officeDocument/2006/relationships/hyperlink" Target="https://meteor.aihw.gov.au/content/493347" TargetMode="External" Id="R4d68046d6d55411d" /><Relationship Type="http://schemas.openxmlformats.org/officeDocument/2006/relationships/hyperlink" Target="https://meteor.aihw.gov.au/content/246013" TargetMode="External" Id="Rebc094bf22a94363" /><Relationship Type="http://schemas.openxmlformats.org/officeDocument/2006/relationships/hyperlink" Target="https://meteor.aihw.gov.au/content/661582" TargetMode="External" Id="Ra40678b0d12c48f2" /><Relationship Type="http://schemas.openxmlformats.org/officeDocument/2006/relationships/hyperlink" Target="https://meteor.aihw.gov.au/RegistrationAuthority/5" TargetMode="External" Id="Rc51204ff888c4066" /><Relationship Type="http://schemas.openxmlformats.org/officeDocument/2006/relationships/hyperlink" Target="https://meteor.aihw.gov.au/content/706801" TargetMode="External" Id="R54d16af11dd04d97" /><Relationship Type="http://schemas.openxmlformats.org/officeDocument/2006/relationships/hyperlink" Target="https://meteor.aihw.gov.au/RegistrationAuthority/5" TargetMode="External" Id="Re2407c63a6314917" /><Relationship Type="http://schemas.openxmlformats.org/officeDocument/2006/relationships/hyperlink" Target="https://meteor.aihw.gov.au/content/565661" TargetMode="External" Id="R04c2429ad1bd49cb" /><Relationship Type="http://schemas.openxmlformats.org/officeDocument/2006/relationships/hyperlink" Target="https://meteor.aihw.gov.au/RegistrationAuthority/12" TargetMode="External" Id="R2b7e4d20e32a47f4" /></Relationships>
</file>

<file path=word/_rels/header1.xml.rels>&#65279;<?xml version="1.0" encoding="utf-8"?><Relationships xmlns="http://schemas.openxmlformats.org/package/2006/relationships"><Relationship Type="http://schemas.openxmlformats.org/officeDocument/2006/relationships/image" Target="/media/image.png" Id="R8131e2f778084bed" /></Relationships>
</file>