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d64d1f3544cb3"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f88bf475345db">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7024731c5d2497e">
              <w:r>
                <w:rPr>
                  <w:rStyle w:val="Hyperlink"/>
                  <w:i/>
                </w:rPr>
                <w:t xml:space="preserve">Australian Institute of Health and Welfare Act 1987</w:t>
              </w:r>
            </w:hyperlink>
            <w:hyperlink w:history="true" r:id="Rcd382e544d60488c">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648bafc23c2a4cc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88e44cdf35d4782">
              <w:r>
                <w:rPr>
                  <w:rStyle w:val="Hyperlink"/>
                  <w:i/>
                </w:rPr>
                <w:t xml:space="preserve">Australian Institute of Health and Welfare Act 1987</w:t>
              </w:r>
            </w:hyperlink>
            <w:r>
              <w:rPr>
                <w:rStyle w:val="row-content-rich-text"/>
              </w:rPr>
              <w:t xml:space="preserve">, in conjunction with compliance to the </w:t>
            </w:r>
            <w:hyperlink w:history="true" r:id="R2617c807d3414cb6">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23ff5bb903d4e81">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2016–17 financial year. The collection is mostly a 30 June 2017 snapshot, but also captures information regarding new households assisted during 2016–17. Limited financial information from the 2015–16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77899c602b07401e">
              <w:r>
                <w:rPr>
                  <w:rStyle w:val="Hyperlink"/>
                  <w:i/>
                </w:rPr>
                <w:t xml:space="preserve">Housing assistance in Australia</w:t>
              </w:r>
            </w:hyperlink>
            <w:r>
              <w:rPr>
                <w:rStyle w:val="row-content-rich-text"/>
              </w:rPr>
              <w:t xml:space="preserve"> reports and the Productivity Commission's annual </w:t>
            </w:r>
            <w:hyperlink w:history="true" r:id="R207425d66adb4eb6">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2f1300ea5e954503">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e7f1105b399b4d0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2861d9e74b0247a1">
              <w:r>
                <w:rPr>
                  <w:rStyle w:val="Hyperlink"/>
                  <w:i/>
                </w:rPr>
                <w:t xml:space="preserve">Mainstream community housing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supply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 </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154 community housing organisations, 33 completed the survey tool accounting for 89% of the total dwelling portfolio. This represents a decline from the 92% coverage rate in 2015–16.</w:t>
                  </w:r>
                </w:p>
              </w:tc>
            </w:tr>
            <w:tr>
              <w:trPr/>
              <w:tc>
                <w:tcPr>
                  <w:tcW w:w="1000" w:type="pct"/>
                  <w:vAlign w:val="top"/>
                </w:tcPr>
                <w:p>
                  <w:r>
                    <w:t xml:space="preserve">Victoria</w:t>
                  </w:r>
                </w:p>
              </w:tc>
              <w:tc>
                <w:tcPr>
                  <w:tcW w:w="4000" w:type="pct"/>
                  <w:vAlign w:val="top"/>
                </w:tcPr>
                <w:p>
                  <w:r>
                    <w:t xml:space="preserve">Of the 93 community housing organisations, 64 completed the survey tool. This was a decrease from the 80 community housing organisations who responded to the survey in 2015–16. Information regarding dwellings for which the organisation did not provide unit record data was not reported for 2016–17 so the coverage rate cannot be calculated by AIHW.</w:t>
                  </w:r>
                </w:p>
              </w:tc>
            </w:tr>
            <w:tr>
              <w:trPr/>
              <w:tc>
                <w:tcPr>
                  <w:tcW w:w="1000" w:type="pct"/>
                  <w:vAlign w:val="top"/>
                </w:tcPr>
                <w:p>
                  <w:r>
                    <w:t xml:space="preserve">Queensland</w:t>
                  </w:r>
                </w:p>
              </w:tc>
              <w:tc>
                <w:tcPr>
                  <w:tcW w:w="4000" w:type="pct"/>
                  <w:vAlign w:val="top"/>
                </w:tcPr>
                <w:p>
                  <w:r>
                    <w:t xml:space="preserve">Of the 193 community housing organisations, 102 completed the survey tool accounting for 89% of the total dwelling portfolio. This is not comparable to 2015–16 due to a change in methodology.</w:t>
                  </w:r>
                </w:p>
              </w:tc>
            </w:tr>
            <w:tr>
              <w:trPr/>
              <w:tc>
                <w:tcPr>
                  <w:tcW w:w="1000" w:type="pct"/>
                  <w:vAlign w:val="top"/>
                </w:tcPr>
                <w:p>
                  <w:r>
                    <w:t xml:space="preserve">Western Australia</w:t>
                  </w:r>
                </w:p>
              </w:tc>
              <w:tc>
                <w:tcPr>
                  <w:tcW w:w="4000" w:type="pct"/>
                  <w:vAlign w:val="top"/>
                </w:tcPr>
                <w:p>
                  <w:r>
                    <w:t xml:space="preserve">Of the 32 registered community housing organisations, 30 completed the survey tool accounting for 99% of the total dwelling portfolio. This represents a slight increase from the 98% coverage rate in 2015–16.</w:t>
                  </w:r>
                </w:p>
              </w:tc>
            </w:tr>
            <w:tr>
              <w:trPr/>
              <w:tc>
                <w:tcPr>
                  <w:tcW w:w="1000" w:type="pct"/>
                  <w:vAlign w:val="top"/>
                </w:tcPr>
                <w:p>
                  <w:r>
                    <w:t xml:space="preserve">South Australia</w:t>
                  </w:r>
                </w:p>
              </w:tc>
              <w:tc>
                <w:tcPr>
                  <w:tcW w:w="4000" w:type="pct"/>
                  <w:vAlign w:val="top"/>
                </w:tcPr>
                <w:p>
                  <w:r>
                    <w:t xml:space="preserve">All of the 48 community housing organisations completed the survey tool covering 100% of the total dwelling portfolio. The same coverage rate was observed in 2015–16.</w:t>
                  </w:r>
                </w:p>
              </w:tc>
            </w:tr>
            <w:tr>
              <w:trPr/>
              <w:tc>
                <w:tcPr>
                  <w:tcW w:w="1000" w:type="pct"/>
                  <w:vAlign w:val="top"/>
                </w:tcPr>
                <w:p>
                  <w:r>
                    <w:t xml:space="preserve">Tasmania</w:t>
                  </w:r>
                </w:p>
              </w:tc>
              <w:tc>
                <w:tcPr>
                  <w:tcW w:w="4000" w:type="pct"/>
                  <w:vAlign w:val="top"/>
                </w:tcPr>
                <w:p>
                  <w:r>
                    <w:t xml:space="preserve">Of the 57 community housing organisations, 37 completed the survey tool accounting for 96% of the total dwelling portfolio. This same coverage rate was observed in 2015–16.</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2015–16.</w:t>
                  </w:r>
                </w:p>
              </w:tc>
            </w:tr>
            <w:tr>
              <w:trPr/>
              <w:tc>
                <w:tcPr>
                  <w:tcW w:w="1000" w:type="pct"/>
                  <w:vAlign w:val="top"/>
                </w:tcPr>
                <w:p>
                  <w:r>
                    <w:t xml:space="preserve">Northern Territory</w:t>
                  </w:r>
                </w:p>
              </w:tc>
              <w:tc>
                <w:tcPr>
                  <w:tcW w:w="4000" w:type="pct"/>
                  <w:vAlign w:val="top"/>
                </w:tcPr>
                <w:p>
                  <w:r>
                    <w:t xml:space="preserve">Only administrative data was provided for 34 community housing organisations. This is a slight increase from the 33 community housing organisations that provided administrative data in 2015–16.</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is still a significant issue. Improvements are expected for the 2017–18 collection.</w:t>
            </w:r>
          </w:p>
          <w:p>
            <w:pPr>
              <w:pStyle w:val="ListParagraph"/>
              <w:numPr>
                <w:ilvl w:val="0"/>
                <w:numId w:val="4"/>
              </w:numPr>
            </w:pPr>
            <w:r>
              <w:t xml:space="preserve">Care is advised when interpreting income and rent data; affordable housing incomes are rent based and not set at 25% of household income.</w:t>
            </w:r>
          </w:p>
          <w:p>
            <w:pPr>
              <w:pStyle w:val="ListParagraph"/>
              <w:numPr>
                <w:ilvl w:val="0"/>
                <w:numId w:val="4"/>
              </w:numPr>
            </w:pPr>
            <w:r>
              <w:t xml:space="preserve">Data for additional affordable housing properties have been included for the first time in 2016–17.</w:t>
            </w:r>
          </w:p>
          <w:p>
            <w:pPr>
              <w:pStyle w:val="ListParagraph"/>
              <w:numPr>
                <w:ilvl w:val="0"/>
                <w:numId w:val="4"/>
              </w:numPr>
            </w:pPr>
            <w:r>
              <w:t xml:space="preserve">Improved data quality resulted in an increase in total rents charged.</w:t>
            </w:r>
          </w:p>
          <w:p>
            <w:r>
              <w:rPr>
                <w:b/>
              </w:rPr>
              <w:t xml:space="preserve">Victoria</w:t>
            </w:r>
          </w:p>
          <w:p>
            <w:pPr>
              <w:pStyle w:val="ListParagraph"/>
              <w:numPr>
                <w:ilvl w:val="0"/>
                <w:numId w:val="5"/>
              </w:numPr>
            </w:pPr>
            <w:r>
              <w:t xml:space="preserve">Care is advised when reviewing data for waitlist applicants for 2016–17. In 2017–18, CH applicants will be transferred to the Victorian Housing Register which will integrate public and community housing waiting lists. In the meantime, a review of current housing applications, to remove those that are duplicates, inaccurate or out of date has commenced. This could have contributed to the decrease in waitlist numbers.</w:t>
            </w:r>
          </w:p>
          <w:p>
            <w:pPr>
              <w:pStyle w:val="ListParagraph"/>
              <w:numPr>
                <w:ilvl w:val="0"/>
                <w:numId w:val="5"/>
              </w:numPr>
            </w:pPr>
            <w:r>
              <w:t xml:space="preserve">Reduced survey returns from CHOs resulted in a decrease in net recurrent costs per unit and total rents charged. Thus, care is advised when comparing data for 2016–17 with previous years.</w:t>
            </w:r>
          </w:p>
          <w:p>
            <w:r>
              <w:rPr>
                <w:b/>
              </w:rPr>
              <w:t xml:space="preserve">Queensland</w:t>
            </w:r>
          </w:p>
          <w:p>
            <w:pPr>
              <w:pStyle w:val="ListParagraph"/>
              <w:numPr>
                <w:ilvl w:val="0"/>
                <w:numId w:val="6"/>
              </w:numPr>
            </w:pPr>
            <w:r>
              <w:t xml:space="preserve">For 2016–17, data was provided for current tenancies and households as at 30 June only. Thus care is advised when comparing data for 2016–17 with that of previous years.</w:t>
            </w:r>
          </w:p>
          <w:p>
            <w:pPr>
              <w:pStyle w:val="ListParagraph"/>
              <w:numPr>
                <w:ilvl w:val="0"/>
                <w:numId w:val="6"/>
              </w:numPr>
            </w:pPr>
            <w:r>
              <w:t xml:space="preserve">In 2016–17, several small providers were merged with their parent provider and 7 organisations that ceased to provide services were removed from scope. This resulted in a reduction in the total number of CHOs.</w:t>
            </w:r>
          </w:p>
          <w:p>
            <w:pPr>
              <w:pStyle w:val="ListParagraph"/>
              <w:numPr>
                <w:ilvl w:val="0"/>
                <w:numId w:val="6"/>
              </w:numPr>
            </w:pPr>
            <w:r>
              <w:t xml:space="preserve">In 2016–17, due to a change in policy, all applicants on the housing waitlist for social rental housing were counted, whereas in previous years only those listed for community housing were counted. Thus data for 2016–17 are not comparable with that of previous years.</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 still don't separate CRA from household income, therefore caution should be taken when interpreting data pertaining to rent charged and gross weekly income.</w:t>
            </w:r>
          </w:p>
          <w:p>
            <w:pPr>
              <w:pStyle w:val="ListParagraph"/>
              <w:numPr>
                <w:ilvl w:val="0"/>
                <w:numId w:val="7"/>
              </w:numPr>
            </w:pPr>
            <w:r>
              <w:t xml:space="preserve">Due to turnover of staff at some CHOs, some program types and dwelling types have been reclassified. Thus care is advised when comparing data with previous years.</w:t>
            </w:r>
          </w:p>
          <w:p>
            <w:pPr>
              <w:pStyle w:val="ListParagraph"/>
              <w:numPr>
                <w:ilvl w:val="0"/>
                <w:numId w:val="7"/>
              </w:numPr>
            </w:pPr>
            <w:r>
              <w:t xml:space="preserve">Care is advised when reviewing data for rent charged:</w:t>
            </w:r>
            <w:r>
              <w:br/>
            </w:r>
            <w:r>
              <w:t xml:space="preserve">        • Rent charged on NRAS properties is not income based. It is set at 80% of market rent.</w:t>
            </w:r>
            <w:r>
              <w:br/>
            </w:r>
            <w:r>
              <w:t xml:space="preserve">        • Some CHOs charge a flat fee for board or lodging and may include support care, utility and communal costs.</w:t>
            </w:r>
            <w:r>
              <w:br/>
            </w:r>
            <w:r>
              <w:t xml:space="preserve">        • Income is not used to calculate rent payable for student housing. Rent is set at 74.99% of market rent.</w:t>
            </w:r>
          </w:p>
          <w:p>
            <w:r>
              <w:rPr>
                <w:b/>
              </w:rPr>
              <w:t xml:space="preserve">South Australia</w:t>
            </w:r>
          </w:p>
          <w:p>
            <w:pPr>
              <w:pStyle w:val="ListParagraph"/>
              <w:numPr>
                <w:ilvl w:val="0"/>
                <w:numId w:val="8"/>
              </w:numPr>
            </w:pPr>
            <w:r>
              <w:t xml:space="preserve">In 2016–17, a single housing register was implemented for public and community housing resulting in an increase in the number of applicants on the waiting list. Thus, caution is advised when comparing data for 2016–17 with previous years.</w:t>
            </w:r>
          </w:p>
          <w:p>
            <w:r>
              <w:rPr>
                <w:b/>
              </w:rPr>
              <w:t xml:space="preserve">Tasmania</w:t>
            </w:r>
          </w:p>
          <w:p>
            <w:pPr>
              <w:pStyle w:val="ListParagraph"/>
              <w:numPr>
                <w:ilvl w:val="0"/>
                <w:numId w:val="9"/>
              </w:numPr>
            </w:pPr>
            <w:r>
              <w:t xml:space="preserve">Survey data received from CHOs contained a large number of errors and a high proportion of ‘unknown’ data. While substantial data cleaning was undertaken, it is likely that data quality issues still exist.</w:t>
            </w:r>
          </w:p>
          <w:p>
            <w:pPr>
              <w:pStyle w:val="ListParagraph"/>
              <w:numPr>
                <w:ilvl w:val="0"/>
                <w:numId w:val="9"/>
              </w:numPr>
            </w:pPr>
            <w:r>
              <w:t xml:space="preserve">The overall number of organisations in scope for the survey decreased from 66 organisations in 2015–16 to 57 in 2016–17.</w:t>
            </w:r>
          </w:p>
          <w:p>
            <w:r>
              <w:rPr>
                <w:b/>
              </w:rPr>
              <w:t xml:space="preserve">Australian Capital Territory</w:t>
            </w:r>
          </w:p>
          <w:p>
            <w:pPr>
              <w:pStyle w:val="ListParagraph"/>
              <w:numPr>
                <w:ilvl w:val="0"/>
                <w:numId w:val="10"/>
              </w:numPr>
            </w:pPr>
            <w:r>
              <w:t xml:space="preserve">Care is advised when reviewing data for overcrowding due to inconsistencies in the data reported between CHOs.</w:t>
            </w:r>
          </w:p>
          <w:p>
            <w:pPr>
              <w:pStyle w:val="ListParagraph"/>
              <w:numPr>
                <w:ilvl w:val="0"/>
                <w:numId w:val="10"/>
              </w:numPr>
            </w:pPr>
            <w:r>
              <w:t xml:space="preserve">Integrated waitlist data are unable to differentiate between new applicants and applicants requesting a transfer.</w:t>
            </w:r>
          </w:p>
          <w:p>
            <w:pPr>
              <w:pStyle w:val="ListParagraph"/>
              <w:numPr>
                <w:ilvl w:val="0"/>
                <w:numId w:val="10"/>
              </w:numPr>
            </w:pPr>
            <w:r>
              <w:t xml:space="preserve">In 2016–17, improved reporting and data quality resulted in better identification of untenantable dwellings.</w:t>
            </w:r>
          </w:p>
          <w:p>
            <w:pPr>
              <w:pStyle w:val="ListParagraph"/>
              <w:numPr>
                <w:ilvl w:val="0"/>
                <w:numId w:val="10"/>
              </w:numPr>
            </w:pPr>
            <w:r>
              <w:t xml:space="preserve">Caution is advised when interpreting rent data as some providers offer a rent free period. As a result, rent collected as a percentage of rent charged has declined over time.</w:t>
            </w:r>
          </w:p>
          <w:p>
            <w:pPr>
              <w:pStyle w:val="ListParagraph"/>
              <w:numPr>
                <w:ilvl w:val="0"/>
                <w:numId w:val="10"/>
              </w:numPr>
            </w:pPr>
            <w:r>
              <w:t xml:space="preserve">Under the efficiency dividend there has been consistent effort to rationalise extraneous expenditure resulting in a decline in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In 2016–17, South Australia also implemented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2"/>
              </w:numPr>
            </w:pPr>
            <w:r>
              <w:rPr>
                <w:rStyle w:val="row-content-rich-text"/>
              </w:rPr>
              <w:t xml:space="preserve">Measurements using low income cannot be directly compared with low income figures produced prior to 2013–14 due to a change in methodology. Low income cut-offs were revised for 2014–15 data based on ABS 2013–14 Survey of Income and Housing results. This led to substantial increases in the number of households considered to be receiving a low income. Care is therefore required when comparing 2014–15 data with previous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3"/>
              </w:numPr>
            </w:pPr>
            <w:r>
              <w:rPr>
                <w:rStyle w:val="row-content-rich-text"/>
              </w:rPr>
              <w:t xml:space="preserve">From 2013–14, New South Wales have provided unit record data. Data prior to this is therefore not comparable.</w:t>
            </w:r>
          </w:p>
          <w:p>
            <w:pPr>
              <w:pStyle w:val="ListParagraph"/>
              <w:numPr>
                <w:ilvl w:val="0"/>
                <w:numId w:val="13"/>
              </w:numPr>
            </w:pPr>
            <w:r>
              <w:rPr>
                <w:rStyle w:val="row-content-rich-text"/>
              </w:rPr>
              <w:t xml:space="preserve">In 2014–15, the tenancy management of 666 public rental housing dwellings was transferred to the community housing sector with a corresponding impact on the number of households assisted.</w:t>
            </w:r>
          </w:p>
          <w:p>
            <w:pPr>
              <w:pStyle w:val="ListParagraph"/>
              <w:numPr>
                <w:ilvl w:val="0"/>
                <w:numId w:val="13"/>
              </w:numPr>
            </w:pPr>
            <w:r>
              <w:rPr>
                <w:rStyle w:val="row-content-rich-text"/>
              </w:rPr>
              <w:t xml:space="preserve">New South Wales reported NRAS dwellings for the first time in 2015–16.</w:t>
            </w:r>
          </w:p>
          <w:p>
            <w:pPr>
              <w:pStyle w:val="ListParagraph"/>
              <w:numPr>
                <w:ilvl w:val="0"/>
                <w:numId w:val="13"/>
              </w:numPr>
            </w:pPr>
            <w:r>
              <w:rPr>
                <w:rStyle w:val="row-content-rich-text"/>
              </w:rPr>
              <w:t xml:space="preserve">From 2015–16, NRAS dwellings were excluded from the calculation of the occupancy rate.</w:t>
            </w:r>
          </w:p>
          <w:p>
            <w:pPr>
              <w:spacing w:after="160"/>
            </w:pPr>
            <w:r>
              <w:rPr>
                <w:rStyle w:val="row-content-rich-text"/>
                <w:b/>
              </w:rPr>
              <w:t xml:space="preserve">Victoria</w:t>
            </w:r>
          </w:p>
          <w:p>
            <w:pPr>
              <w:pStyle w:val="ListParagraph"/>
              <w:numPr>
                <w:ilvl w:val="0"/>
                <w:numId w:val="14"/>
              </w:numPr>
            </w:pPr>
            <w:r>
              <w:rPr>
                <w:rStyle w:val="row-content-rich-text"/>
              </w:rPr>
              <w:t xml:space="preserve">In 2014–15, two organisations cased to provide CH services and one provider amalgamated with another provider. Thus, caution is advised when comparing data with previous years.</w:t>
            </w:r>
          </w:p>
          <w:p>
            <w:pPr>
              <w:spacing w:after="160"/>
            </w:pPr>
            <w:r>
              <w:rPr>
                <w:rStyle w:val="row-content-rich-text"/>
                <w:b/>
              </w:rPr>
              <w:t xml:space="preserve">Queensland</w:t>
            </w:r>
          </w:p>
          <w:p>
            <w:pPr>
              <w:pStyle w:val="ListParagraph"/>
              <w:numPr>
                <w:ilvl w:val="0"/>
                <w:numId w:val="15"/>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is therefore not comparable.</w:t>
            </w:r>
          </w:p>
          <w:p>
            <w:pPr>
              <w:pStyle w:val="ListParagraph"/>
              <w:numPr>
                <w:ilvl w:val="0"/>
                <w:numId w:val="15"/>
              </w:numPr>
            </w:pPr>
            <w:r>
              <w:rPr>
                <w:rStyle w:val="row-content-rich-text"/>
              </w:rPr>
              <w:t xml:space="preserve">From 2013–14, Affordable Housing Program data has been provided. These data were not available in prior collection periods.</w:t>
            </w:r>
          </w:p>
          <w:p>
            <w:pPr>
              <w:pStyle w:val="ListParagraph"/>
              <w:numPr>
                <w:ilvl w:val="0"/>
                <w:numId w:val="15"/>
              </w:numPr>
            </w:pPr>
            <w:r>
              <w:rPr>
                <w:rStyle w:val="row-content-rich-text"/>
              </w:rPr>
              <w:t xml:space="preserve">Improvements have been made to the identification of households containing a member identifying as Indigenous, and/or having a disability and/or from a non-English speaking background.</w:t>
            </w:r>
          </w:p>
          <w:p>
            <w:pPr>
              <w:pStyle w:val="ListParagraph"/>
              <w:numPr>
                <w:ilvl w:val="0"/>
                <w:numId w:val="15"/>
              </w:numPr>
            </w:pPr>
            <w:r>
              <w:rPr>
                <w:rStyle w:val="row-content-rich-text"/>
              </w:rPr>
              <w:t xml:space="preserve">From 2015–16, CH program administration and regulation costs were included. Previously, only rates and maintenance paid by the Department of Housing and Public Works were reported.</w:t>
            </w:r>
          </w:p>
          <w:p>
            <w:pPr>
              <w:spacing w:after="160"/>
            </w:pPr>
            <w:r>
              <w:rPr>
                <w:rStyle w:val="row-content-rich-text"/>
                <w:b/>
              </w:rPr>
              <w:t xml:space="preserve">Western Australia</w:t>
            </w:r>
          </w:p>
          <w:p>
            <w:pPr>
              <w:pStyle w:val="ListParagraph"/>
              <w:numPr>
                <w:ilvl w:val="0"/>
                <w:numId w:val="16"/>
              </w:numPr>
            </w:pPr>
            <w:r>
              <w:rPr>
                <w:rStyle w:val="row-content-rich-text"/>
              </w:rPr>
              <w:t xml:space="preserve">From 2014–15, methodological changes have resulted in a better identification of households with Indigenous members.</w:t>
            </w:r>
          </w:p>
          <w:p>
            <w:pPr>
              <w:spacing w:after="160"/>
            </w:pPr>
            <w:r>
              <w:rPr>
                <w:rStyle w:val="row-content-rich-text"/>
                <w:b/>
              </w:rPr>
              <w:t xml:space="preserve">South Australia</w:t>
            </w:r>
          </w:p>
          <w:p>
            <w:pPr>
              <w:pStyle w:val="ListParagraph"/>
              <w:numPr>
                <w:ilvl w:val="0"/>
                <w:numId w:val="17"/>
              </w:numPr>
            </w:pPr>
            <w:r>
              <w:rPr>
                <w:rStyle w:val="row-content-rich-text"/>
              </w:rPr>
              <w:t xml:space="preserve">In 2015–16, the number of in-scope CH dwellings increased due to the transition of about 1,000 public rental housing dwellings to the community sector.</w:t>
            </w:r>
          </w:p>
          <w:p>
            <w:pPr>
              <w:pStyle w:val="ListParagraph"/>
              <w:numPr>
                <w:ilvl w:val="0"/>
                <w:numId w:val="17"/>
              </w:numPr>
            </w:pPr>
            <w:r>
              <w:rPr>
                <w:rStyle w:val="row-content-rich-text"/>
              </w:rPr>
              <w:t xml:space="preserve">From 2014–15, methodological improvements have resulted in better identification of households with Indigenous members.</w:t>
            </w:r>
          </w:p>
          <w:p>
            <w:pPr>
              <w:pStyle w:val="ListParagraph"/>
              <w:numPr>
                <w:ilvl w:val="0"/>
                <w:numId w:val="17"/>
              </w:numPr>
            </w:pPr>
            <w:r>
              <w:rPr>
                <w:rStyle w:val="row-content-rich-text"/>
              </w:rPr>
              <w:t xml:space="preserve">Prior to 2012–13, the waitlist data reported were based solely on the Community Housing Customer Register. Applicants for National Rental Affordability Scheme (NRAS) properties were registered on a separate waitlist and not reported. Since 2012–13, waitlist data have been reported for the total number of applicants for community housing and affordable housing.</w:t>
            </w:r>
          </w:p>
          <w:p>
            <w:pPr>
              <w:pStyle w:val="ListParagraph"/>
              <w:numPr>
                <w:ilvl w:val="0"/>
                <w:numId w:val="17"/>
              </w:numPr>
            </w:pPr>
            <w:r>
              <w:rPr>
                <w:rStyle w:val="row-content-rich-text"/>
              </w:rPr>
              <w:t xml:space="preserve">As affordable housing rent setting policies are based on a discount to the market and not as a proportion of income (the norm for community housing), the inclusion of affordable housing data would tend to increase the proportion of income allocated to rent.</w:t>
            </w:r>
          </w:p>
          <w:p>
            <w:pPr>
              <w:spacing w:after="160"/>
            </w:pPr>
            <w:r>
              <w:rPr>
                <w:rStyle w:val="row-content-rich-text"/>
                <w:b/>
              </w:rPr>
              <w:t xml:space="preserve">Tasmania</w:t>
            </w:r>
          </w:p>
          <w:p>
            <w:pPr>
              <w:pStyle w:val="ListParagraph"/>
              <w:numPr>
                <w:ilvl w:val="0"/>
                <w:numId w:val="18"/>
              </w:numPr>
            </w:pPr>
            <w:r>
              <w:rPr>
                <w:rStyle w:val="row-content-rich-text"/>
              </w:rPr>
              <w:t xml:space="preserve">The number of in-scope CH dwellings increased significantly in 2013–14 and 2014–15. This was mainly due to the transition of about 3,500 public rental housing dwellings to the community sector under the Better Housing Futures program during this period.</w:t>
            </w:r>
          </w:p>
          <w:p>
            <w:pPr>
              <w:pStyle w:val="ListParagraph"/>
              <w:numPr>
                <w:ilvl w:val="0"/>
                <w:numId w:val="18"/>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Northern Territory</w:t>
            </w:r>
          </w:p>
          <w:p>
            <w:pPr>
              <w:pStyle w:val="ListParagraph"/>
              <w:numPr>
                <w:ilvl w:val="0"/>
                <w:numId w:val="19"/>
              </w:numPr>
            </w:pPr>
            <w:r>
              <w:rPr>
                <w:rStyle w:val="row-content-rich-text"/>
              </w:rPr>
              <w:t xml:space="preserve">Changes to stock holdings changed the distribution of tenancy rental units by remoteness area.</w:t>
            </w:r>
          </w:p>
          <w:p>
            <w:pPr>
              <w:pStyle w:val="ListParagraph"/>
              <w:numPr>
                <w:ilvl w:val="0"/>
                <w:numId w:val="19"/>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a0eb238864916">
              <w:r>
                <w:rPr>
                  <w:rStyle w:val="Hyperlink"/>
                </w:rPr>
                <w:t xml:space="preserve">Community Housing Data Collection, 2015–16; Quality Statement</w:t>
              </w:r>
            </w:hyperlink>
          </w:p>
          <w:p>
            <w:pPr>
              <w:spacing w:before="0" w:after="0"/>
            </w:pPr>
            <w:r>
              <w:rPr>
                <w:rStyle w:val="row-content"/>
                <w:color w:val="244061"/>
              </w:rPr>
              <w:t xml:space="preserve">       </w:t>
            </w:r>
            <w:hyperlink w:history="true" r:id="R85f02629c16c49d9">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a50cb574cd934c71">
              <w:r>
                <w:rPr>
                  <w:rStyle w:val="Hyperlink"/>
                </w:rPr>
                <w:t xml:space="preserve">Community Housing Data Collection, 2017–18; Quality Statement</w:t>
              </w:r>
            </w:hyperlink>
          </w:p>
          <w:p>
            <w:pPr>
              <w:spacing w:before="0" w:after="0"/>
            </w:pPr>
            <w:r>
              <w:rPr>
                <w:rStyle w:val="row-content"/>
                <w:color w:val="244061"/>
              </w:rPr>
              <w:t xml:space="preserve">       </w:t>
            </w:r>
            <w:hyperlink w:history="true" r:id="Rf6722268817d4037">
              <w:r>
                <w:rPr>
                  <w:rStyle w:val="Hyperlink"/>
                  <w:color w:val="244061"/>
                </w:rPr>
                <w:t xml:space="preserve">AIHW Data Quality Statements</w:t>
              </w:r>
            </w:hyperlink>
            <w:r>
              <w:rPr>
                <w:rStyle w:val="row-content"/>
                <w:color w:val="244061"/>
              </w:rPr>
              <w:t xml:space="preserve">, Superseded 19/12/2019</w:t>
            </w:r>
          </w:p>
          <w:p>
            <w:r>
              <w:br/>
            </w:r>
          </w:p>
        </w:tc>
      </w:tr>
    </w:tbl>
    <w:p>
      <w:r>
        <w:br/>
      </w:r>
    </w:p>
    <w:sectPr>
      <w:footerReference xmlns:r="http://schemas.openxmlformats.org/officeDocument/2006/relationships" w:type="default" r:id="R91a98af4b15b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10bb72422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98af4b15b4151" /><Relationship Type="http://schemas.openxmlformats.org/officeDocument/2006/relationships/header" Target="/word/header1.xml" Id="R2f28bc11cba04e64" /><Relationship Type="http://schemas.openxmlformats.org/officeDocument/2006/relationships/settings" Target="/word/settings.xml" Id="R2d40050955734a59" /><Relationship Type="http://schemas.openxmlformats.org/officeDocument/2006/relationships/styles" Target="/word/styles.xml" Id="Re7ed2220975942fe" /><Relationship Type="http://schemas.openxmlformats.org/officeDocument/2006/relationships/hyperlink" Target="https://meteor.aihw.gov.au/RegistrationAuthority/5" TargetMode="External" Id="Re7ef88bf475345db" /><Relationship Type="http://schemas.openxmlformats.org/officeDocument/2006/relationships/numbering" Target="/word/numbering.xml" Id="R6226f856510546cd" /><Relationship Type="http://schemas.openxmlformats.org/officeDocument/2006/relationships/hyperlink" Target="https://www.legislation.gov.au/Series/C2004A03450" TargetMode="External" Id="Re7024731c5d2497e" /><Relationship Type="http://schemas.openxmlformats.org/officeDocument/2006/relationships/hyperlink" Target="http://www.comlaw.gov.au/Series/C2004A03450" TargetMode="External" Id="Rcd382e544d60488c" /><Relationship Type="http://schemas.openxmlformats.org/officeDocument/2006/relationships/hyperlink" Target="http://www.aihw.gov.au/aihw-board/" TargetMode="External" Id="R648bafc23c2a4cc1" /><Relationship Type="http://schemas.openxmlformats.org/officeDocument/2006/relationships/hyperlink" Target="https://www.legislation.gov.au/Series/C2004A03450" TargetMode="External" Id="R788e44cdf35d4782" /><Relationship Type="http://schemas.openxmlformats.org/officeDocument/2006/relationships/hyperlink" Target="https://www.legislation.gov.au/Series/C2004A03712" TargetMode="External" Id="R2617c807d3414cb6" /><Relationship Type="http://schemas.openxmlformats.org/officeDocument/2006/relationships/hyperlink" Target="http://www.aihw.gov.au/" TargetMode="External" Id="R623ff5bb903d4e81" /><Relationship Type="http://schemas.openxmlformats.org/officeDocument/2006/relationships/hyperlink" Target="https://www.aihw.gov.au/reports-statistics/health-welfare-services/housing-assistance/overview" TargetMode="External" Id="R77899c602b07401e" /><Relationship Type="http://schemas.openxmlformats.org/officeDocument/2006/relationships/hyperlink" Target="http://www.pc.gov.au/research/ongoing/report-on-government-services" TargetMode="External" Id="R207425d66adb4eb6" /><Relationship Type="http://schemas.openxmlformats.org/officeDocument/2006/relationships/hyperlink" Target="https://datarequest.aihw.gov.au" TargetMode="External" Id="R2f1300ea5e954503" /><Relationship Type="http://schemas.openxmlformats.org/officeDocument/2006/relationships/hyperlink" Target="mailto:info@aihw.gov.au" TargetMode="External" Id="Re7f1105b399b4d03" /><Relationship Type="http://schemas.openxmlformats.org/officeDocument/2006/relationships/hyperlink" Target="https://meteor.aihw.gov.au/content/594489" TargetMode="External" Id="R2861d9e74b0247a1" /><Relationship Type="http://schemas.openxmlformats.org/officeDocument/2006/relationships/hyperlink" Target="https://meteor.aihw.gov.au/content/659303" TargetMode="External" Id="R26aa0eb238864916" /><Relationship Type="http://schemas.openxmlformats.org/officeDocument/2006/relationships/hyperlink" Target="https://meteor.aihw.gov.au/RegistrationAuthority/5" TargetMode="External" Id="R85f02629c16c49d9" /><Relationship Type="http://schemas.openxmlformats.org/officeDocument/2006/relationships/hyperlink" Target="https://meteor.aihw.gov.au/content/690943" TargetMode="External" Id="Ra50cb574cd934c71" /><Relationship Type="http://schemas.openxmlformats.org/officeDocument/2006/relationships/hyperlink" Target="https://meteor.aihw.gov.au/RegistrationAuthority/5" TargetMode="External" Id="Rf6722268817d4037" /></Relationships>
</file>

<file path=word/_rels/header1.xml.rels>&#65279;<?xml version="1.0" encoding="utf-8"?><Relationships xmlns="http://schemas.openxmlformats.org/package/2006/relationships"><Relationship Type="http://schemas.openxmlformats.org/officeDocument/2006/relationships/image" Target="/media/image.png" Id="R97610bb724224d14" /></Relationships>
</file>