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644b6328411433c" /></Relationships>
</file>

<file path=word/document.xml><?xml version="1.0" encoding="utf-8"?>
<w:document xmlns:r="http://schemas.openxmlformats.org/officeDocument/2006/relationships" xmlns:w="http://schemas.openxmlformats.org/wordprocessingml/2006/main">
  <w:body>
    <w:p>
      <w:pPr>
        <w:pStyle w:val="Title"/>
      </w:pPr>
      <w:r>
        <w:t>State Owned and Managed Indigenous Housing Data Collection, 2016–17;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Owned and Managed Indigenous Housing Data Collection, 2016–17;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677605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67512cf88c4f32">
              <w:r>
                <w:rPr>
                  <w:rStyle w:val="Hyperlink"/>
                  <w:color w:val="244061"/>
                </w:rPr>
                <w:t xml:space="preserve">AIHW Data Quality Statements</w:t>
              </w:r>
            </w:hyperlink>
            <w:r>
              <w:rPr>
                <w:rStyle w:val="row-content"/>
                <w:color w:val="244061"/>
              </w:rPr>
              <w:t xml:space="preserve">, Superseded 02/01/2019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Five states and territories—New South Wales, Queensland, South Australia,  Tasmania and the Northern Territory—provide a range of State Owned and Managed Indigenous Housing (SOMIH) programs and maintain administrative data sets about these programs. Extracts of these data sets are provided annually to the Australian Institute of Health and Welfare (AIHW).</w:t>
            </w:r>
          </w:p>
          <w:p>
            <w:pPr>
              <w:spacing w:after="160"/>
            </w:pPr>
            <w:r>
              <w:rPr>
                <w:rStyle w:val="row-content-rich-text"/>
              </w:rPr>
              <w:t xml:space="preserve">This collection contains information about SOMIH dwellings, households assisted and households on the waiting list. Data are provided for the following two reference periods: 2016–17 financial year and point in time at 30 June 2017.</w:t>
            </w:r>
          </w:p>
          <w:p>
            <w:pPr>
              <w:spacing w:after="160"/>
            </w:pPr>
            <w:r>
              <w:rPr>
                <w:rStyle w:val="row-content-rich-text"/>
                <w:b/>
              </w:rPr>
              <w:t xml:space="preserve">Summary</w:t>
            </w:r>
          </w:p>
          <w:p>
            <w:pPr>
              <w:pStyle w:val="ListParagraph"/>
              <w:numPr>
                <w:ilvl w:val="0"/>
                <w:numId w:val="2"/>
              </w:numPr>
            </w:pPr>
            <w:r>
              <w:rPr>
                <w:rStyle w:val="row-content-rich-text"/>
              </w:rPr>
              <w:t xml:space="preserve">The data collected are an administrative by-product of the management of SOMIH programs and conform well in terms of scope, coverage and reference period.</w:t>
            </w:r>
          </w:p>
          <w:p>
            <w:pPr>
              <w:pStyle w:val="ListParagraph"/>
              <w:numPr>
                <w:ilvl w:val="0"/>
                <w:numId w:val="2"/>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2"/>
              </w:numPr>
            </w:pPr>
            <w:r>
              <w:rPr>
                <w:rStyle w:val="row-content-rich-text"/>
              </w:rPr>
              <w:t xml:space="preserve">Care is required when comparing outputs across states and territories. Differences in the data collected, including which records are included or excluded from a calculation can affect the coherence of the outputs. Coherence over time has been affected by changes in methodology (see ‘coherence’ section for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4057d21d9115408d">
              <w:r>
                <w:rPr>
                  <w:rStyle w:val="Hyperlink"/>
                  <w:i/>
                </w:rPr>
                <w:t xml:space="preserve">Australian Institute of Health and Welfare Act 1987</w:t>
              </w:r>
            </w:hyperlink>
            <w:r>
              <w:rPr>
                <w:rStyle w:val="row-content-rich-text"/>
                <w:i/>
              </w:rPr>
              <w:t xml:space="preserve"> </w:t>
            </w:r>
            <w:r>
              <w:rPr>
                <w:rStyle w:val="row-content-rich-text"/>
              </w:rPr>
              <w:t xml:space="preserve">to provide reliable, regular and relevant information and statistics on Australia's health and welfare. It is an independent corporate Commonwealth entity established in 1987, governed by a </w:t>
            </w:r>
            <w:hyperlink w:history="true" r:id="R47f5819ea6eb42ce">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hyperlink w:history="true" r:id="R67bd1a7fc4ee44b3">
              <w:r>
                <w:rPr>
                  <w:rStyle w:val="Hyperlink"/>
                  <w:i/>
                </w:rPr>
                <w:t xml:space="preserve">Australian Institute of Health and Welfare Act 1987</w:t>
              </w:r>
            </w:hyperlink>
            <w:r>
              <w:rPr>
                <w:rStyle w:val="row-content-rich-text"/>
              </w:rPr>
              <w:t xml:space="preserve">, in conjunction with compliance to the </w:t>
            </w:r>
            <w:hyperlink w:history="true" r:id="Rf6009826571e46af">
              <w:r>
                <w:rPr>
                  <w:rStyle w:val="Hyperlink"/>
                  <w:i/>
                </w:rPr>
                <w:t xml:space="preserve">Privacy Act 1988</w:t>
              </w:r>
            </w:hyperlink>
            <w:r>
              <w:rPr>
                <w:rStyle w:val="row-content-rich-text"/>
              </w:rPr>
              <w:t xml:space="preserve">, (Commonwealth of Australia),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ee04ac1244fc4a53">
              <w:r>
                <w:rPr>
                  <w:rStyle w:val="Hyperlink"/>
                </w:rPr>
                <w:t xml:space="preserve">www.aihw.gov.au</w:t>
              </w:r>
            </w:hyperlink>
            <w:r>
              <w:rPr>
                <w:rStyle w:val="row-content-rich-text"/>
              </w:rPr>
              <w:t xml:space="preserve">.</w:t>
            </w:r>
          </w:p>
          <w:p>
            <w:pPr/>
            <w:r>
              <w:rPr>
                <w:rStyle w:val="row-content-rich-text"/>
              </w:rPr>
              <w:t xml:space="preserve">The AIHW receives, compiles, edits and verifies the data in collaboration with states and territories. The finalised data sets are signed off by the states and territories and used by the AIHW for reporting and analysis.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SOMIH collection is based on the financial year (ending 30 June). The specific reference period for these data is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in the AIHW's annual </w:t>
            </w:r>
            <w:hyperlink w:history="true" r:id="R5b4cabe91a544a07">
              <w:r>
                <w:rPr>
                  <w:rStyle w:val="Hyperlink"/>
                  <w:i/>
                </w:rPr>
                <w:t xml:space="preserve">Housing assistance in Australia</w:t>
              </w:r>
            </w:hyperlink>
            <w:r>
              <w:rPr>
                <w:rStyle w:val="row-content-rich-text"/>
              </w:rPr>
              <w:t xml:space="preserve"> reports and the Productivity Commission's annual </w:t>
            </w:r>
            <w:hyperlink w:history="true" r:id="R0d13749fd29c4f4b">
              <w:r>
                <w:rPr>
                  <w:rStyle w:val="Hyperlink"/>
                  <w:i/>
                </w:rPr>
                <w:t xml:space="preserve">Report on government services</w:t>
              </w:r>
            </w:hyperlink>
            <w:r>
              <w:rPr>
                <w:rStyle w:val="row-content-rich-text"/>
              </w:rPr>
              <w:t xml:space="preserve">.</w:t>
            </w:r>
          </w:p>
          <w:p>
            <w:pPr>
              <w:spacing w:after="160"/>
            </w:pPr>
            <w:r>
              <w:rPr>
                <w:rStyle w:val="row-content-rich-text"/>
              </w:rPr>
              <w:t xml:space="preserve">Users can request additional disaggregation of data which are not available online or in reports (subject to the AIHW's confidentiality policy and state and territory approval) via the AIHW’s online data request system at </w:t>
            </w:r>
            <w:hyperlink w:history="true" r:id="R9606e787cfb64448">
              <w:r>
                <w:rPr>
                  <w:rStyle w:val="Hyperlink"/>
                </w:rPr>
                <w:t xml:space="preserve">https://www.aihw.gov.au/our-services/data-on-request</w:t>
              </w:r>
            </w:hyperlink>
            <w:r>
              <w:rPr>
                <w:rStyle w:val="row-content-rich-text"/>
              </w:rPr>
              <w:t xml:space="preserve">. Depending on the nature of the request, requests for access to unpublished data may also incur costs or require approval from the AIHW Ethics Committee.</w:t>
            </w:r>
          </w:p>
          <w:p>
            <w:pPr/>
            <w:r>
              <w:rPr>
                <w:rStyle w:val="row-content-rich-text"/>
              </w:rPr>
              <w:t xml:space="preserve">General enquiries about AIHW publications can be directed to </w:t>
            </w:r>
            <w:hyperlink w:history="true" r:id="R61c7e1ac6dc94630">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w:t>
            </w:r>
            <w:hyperlink w:history="true" r:id="R6d4c83bde3034841">
              <w:r>
                <w:rPr>
                  <w:rStyle w:val="Hyperlink"/>
                  <w:i/>
                </w:rPr>
                <w:t xml:space="preserve">State owned and managed Indigenous housing (SOMIH) data set specification 2014-17</w:t>
              </w:r>
            </w:hyperlink>
            <w:r>
              <w:rPr>
                <w:rStyle w:val="row-content-rich-text"/>
              </w:rPr>
              <w:t xml:space="preserve">.</w:t>
            </w:r>
          </w:p>
          <w:p>
            <w:pPr/>
            <w:r>
              <w:rPr>
                <w:rStyle w:val="row-content-rich-text"/>
              </w:rPr>
              <w:t xml:space="preserve">Supplementary information can be found in the housing collection data manuals which are available upon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collected are an administrative by-product of the management of SOMIH programs and conform well in terms of scope, coverage and reference period. SOMIH programs are delivered in only 5 states and territories—New South Wales, Queensland, South Australia, Tasmania and the Northern Territory.</w:t>
            </w:r>
          </w:p>
          <w:p>
            <w:pPr/>
            <w:r>
              <w:rPr>
                <w:rStyle w:val="row-content-rich-text"/>
              </w:rPr>
              <w:t xml:space="preserve">Classifications used for </w:t>
            </w:r>
            <w:r>
              <w:rPr>
                <w:rStyle w:val="row-content-rich-text"/>
                <w:i/>
              </w:rPr>
              <w:t xml:space="preserve">income</w:t>
            </w:r>
            <w:r>
              <w:rPr>
                <w:rStyle w:val="row-content-rich-text"/>
              </w:rPr>
              <w:t xml:space="preserve">, </w:t>
            </w:r>
            <w:r>
              <w:rPr>
                <w:rStyle w:val="row-content-rich-text"/>
                <w:i/>
              </w:rPr>
              <w:t xml:space="preserve">disability status</w:t>
            </w:r>
            <w:r>
              <w:rPr>
                <w:rStyle w:val="row-content-rich-text"/>
              </w:rPr>
              <w:t xml:space="preserve">, </w:t>
            </w:r>
            <w:r>
              <w:rPr>
                <w:rStyle w:val="row-content-rich-text"/>
                <w:i/>
              </w:rPr>
              <w:t xml:space="preserve">greatest need</w:t>
            </w:r>
            <w:r>
              <w:rPr>
                <w:rStyle w:val="row-content-rich-text"/>
              </w:rPr>
              <w:t xml:space="preserve"> and </w:t>
            </w:r>
            <w:r>
              <w:rPr>
                <w:rStyle w:val="row-content-rich-text"/>
                <w:i/>
              </w:rPr>
              <w:t xml:space="preserve">vacancy reason</w:t>
            </w:r>
            <w:r>
              <w:rPr>
                <w:rStyle w:val="row-content-rich-text"/>
              </w:rPr>
              <w:t xml:space="preserve"> are not consistent across the states and territories, however, the states and territories map these data to an AIHW standard.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known accuracy issues with the data collected:</w:t>
            </w:r>
          </w:p>
          <w:p>
            <w:pPr>
              <w:pStyle w:val="ListParagraph"/>
              <w:numPr>
                <w:ilvl w:val="0"/>
                <w:numId w:val="3"/>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3"/>
              </w:numPr>
            </w:pPr>
            <w:r>
              <w:rPr>
                <w:rStyle w:val="row-content-rich-text"/>
              </w:rPr>
              <w:t xml:space="preserve">Not all states and territories capture all data items. For those outputs that are calculated using </w:t>
            </w:r>
            <w:r>
              <w:rPr>
                <w:rStyle w:val="row-content-rich-text"/>
                <w:i/>
              </w:rPr>
              <w:t xml:space="preserve">gross income</w:t>
            </w:r>
            <w:r>
              <w:rPr>
                <w:rStyle w:val="row-content-rich-text"/>
              </w:rPr>
              <w:t xml:space="preserve">, New South Wales and South Australia use </w:t>
            </w:r>
            <w:r>
              <w:rPr>
                <w:rStyle w:val="row-content-rich-text"/>
                <w:i/>
              </w:rPr>
              <w:t xml:space="preserve">assessable income </w:t>
            </w:r>
            <w:r>
              <w:rPr>
                <w:rStyle w:val="row-content-rich-text"/>
              </w:rPr>
              <w:t xml:space="preserve">instead. In addition, </w:t>
            </w:r>
            <w:r>
              <w:rPr>
                <w:rStyle w:val="row-content-rich-text"/>
                <w:i/>
              </w:rPr>
              <w:t xml:space="preserve">disability status </w:t>
            </w:r>
            <w:r>
              <w:rPr>
                <w:rStyle w:val="row-content-rich-text"/>
              </w:rPr>
              <w:t xml:space="preserve">is derived using the receipt of a disability pension as a proxy in New South Wales and the Northern Territory. Queensland references payment type as well as other information.</w:t>
            </w:r>
          </w:p>
          <w:p>
            <w:pPr>
              <w:pStyle w:val="ListParagraph"/>
              <w:numPr>
                <w:ilvl w:val="0"/>
                <w:numId w:val="3"/>
              </w:numPr>
            </w:pPr>
            <w:r>
              <w:rPr>
                <w:rStyle w:val="row-content-rich-text"/>
              </w:rPr>
              <w:t xml:space="preserve">Information about disability is not reported under eligibility requirements for some programs.</w:t>
            </w:r>
          </w:p>
          <w:p>
            <w:pPr>
              <w:pStyle w:val="ListParagraph"/>
              <w:numPr>
                <w:ilvl w:val="0"/>
                <w:numId w:val="3"/>
              </w:numPr>
            </w:pPr>
            <w:r>
              <w:rPr>
                <w:rStyle w:val="row-content-rich-text"/>
              </w:rPr>
              <w:t xml:space="preserve">Indigenous status is self-identified and not reported under eligibility requirements for some programs.</w:t>
            </w:r>
          </w:p>
          <w:p>
            <w:pPr>
              <w:pStyle w:val="ListParagraph"/>
              <w:numPr>
                <w:ilvl w:val="0"/>
                <w:numId w:val="3"/>
              </w:numPr>
            </w:pPr>
            <w:r>
              <w:rPr>
                <w:rStyle w:val="row-content-rich-text"/>
              </w:rPr>
              <w:t xml:space="preserve">Most states and territories do not update income information for non-rebated households, that is, households who pay the market rent value of the dwelling. Therefore, some household income information may not reflect current income levels. Outputs produced that require income information do not include households with missing income and therefore may not be complete.</w:t>
            </w:r>
          </w:p>
          <w:p>
            <w:pPr>
              <w:pStyle w:val="ListParagraph"/>
              <w:numPr>
                <w:ilvl w:val="0"/>
                <w:numId w:val="3"/>
              </w:numPr>
            </w:pPr>
            <w:r>
              <w:rPr>
                <w:rStyle w:val="row-content-rich-text"/>
              </w:rPr>
              <w:t xml:space="preserve">Waitlist data are reported separately for each social housing program. Where jurisdictions have an integrated waitlist (New South Wales, Queensland and Tasmania), applicants may be counted once irrespective of the number of programs for which they are applying.</w:t>
            </w:r>
          </w:p>
          <w:p>
            <w:pPr>
              <w:spacing w:after="160"/>
            </w:pPr>
            <w:r>
              <w:rPr>
                <w:rStyle w:val="row-content-rich-text"/>
              </w:rPr>
              <w:t xml:space="preserve"> </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4"/>
              </w:numPr>
            </w:pPr>
            <w:r>
              <w:rPr>
                <w:rStyle w:val="row-content-rich-text"/>
              </w:rPr>
              <w:t xml:space="preserve">Since a system change in 2010, New South Wales continues to report problems encountered when linking files containing date variables within their system. This may occur when linking ‘dwelling history’, ‘household’ and ‘waitlist’ files. Where date variables contradict between files, they are recoded as missing.</w:t>
            </w:r>
          </w:p>
          <w:p>
            <w:pPr>
              <w:pStyle w:val="ListParagraph"/>
              <w:numPr>
                <w:ilvl w:val="0"/>
                <w:numId w:val="4"/>
              </w:numPr>
            </w:pPr>
            <w:r>
              <w:rPr>
                <w:rStyle w:val="row-content-rich-text"/>
              </w:rPr>
              <w:t xml:space="preserve">Income details are only reported for rebated households, that is, 70% of all households.</w:t>
            </w:r>
          </w:p>
          <w:p>
            <w:pPr>
              <w:pStyle w:val="ListParagraph"/>
              <w:numPr>
                <w:ilvl w:val="0"/>
                <w:numId w:val="4"/>
              </w:numPr>
            </w:pPr>
            <w:r>
              <w:rPr>
                <w:rStyle w:val="row-content-rich-text"/>
              </w:rPr>
              <w:t xml:space="preserve">A new maintenance system was introduced during 2016–17. The transition and implementation timing has meant there are significant data gaps in the ‘dwelling history’ file. Therefore, for 2016–17, New South Wales did not supply the ‘dwelling history’ file which includes the variables necessary for the calculation of turnaround time.</w:t>
            </w:r>
          </w:p>
          <w:p>
            <w:pPr>
              <w:pStyle w:val="ListParagraph"/>
              <w:numPr>
                <w:ilvl w:val="0"/>
                <w:numId w:val="4"/>
              </w:numPr>
            </w:pPr>
            <w:r>
              <w:rPr>
                <w:rStyle w:val="row-content-rich-text"/>
              </w:rPr>
              <w:t xml:space="preserve">The 2016–17 waitlist data excluded suspended applicants, therefore data may not be comparable to previous years. The most frequent reasons for suspending an application include pending receipt of further information; pending receiving information from a client rejecting an offer of accommodation; or if a client is temporarily unable to accept an offer of accommodation for reasons such as illness, hospitalisation or imprisonment.</w:t>
            </w:r>
          </w:p>
          <w:p>
            <w:pPr>
              <w:spacing w:after="160"/>
            </w:pPr>
            <w:r>
              <w:rPr>
                <w:rStyle w:val="row-content-rich-text"/>
                <w:b/>
              </w:rPr>
              <w:t xml:space="preserve">Queensland</w:t>
            </w:r>
          </w:p>
          <w:p>
            <w:pPr>
              <w:pStyle w:val="ListParagraph"/>
              <w:numPr>
                <w:ilvl w:val="0"/>
                <w:numId w:val="5"/>
              </w:numPr>
            </w:pPr>
            <w:r>
              <w:rPr>
                <w:rStyle w:val="row-content-rich-text"/>
              </w:rPr>
              <w:t xml:space="preserve">Individual Indigenous status of SOMIH tenants is not collected. SOMIH households are assumed to be Indigenous households.</w:t>
            </w:r>
          </w:p>
          <w:p>
            <w:pPr>
              <w:pStyle w:val="ListParagraph"/>
              <w:numPr>
                <w:ilvl w:val="0"/>
                <w:numId w:val="5"/>
              </w:numPr>
            </w:pPr>
            <w:r>
              <w:rPr>
                <w:rStyle w:val="row-content-rich-text"/>
              </w:rPr>
              <w:t xml:space="preserve">Income details are only reported for rebated households, that is, 82% of all households.</w:t>
            </w:r>
          </w:p>
          <w:p>
            <w:pPr>
              <w:pStyle w:val="ListParagraph"/>
              <w:numPr>
                <w:ilvl w:val="0"/>
                <w:numId w:val="5"/>
              </w:numPr>
            </w:pPr>
            <w:r>
              <w:rPr>
                <w:rStyle w:val="row-content-rich-text"/>
              </w:rPr>
              <w:t xml:space="preserve">Changes to the Fair Rent Policy, which excludes some income previously counted as assessable, applied from 5 December 2016. Therefore, total assessable income may be lower for some households compared with previous years.</w:t>
            </w:r>
          </w:p>
          <w:p>
            <w:pPr>
              <w:pStyle w:val="ListParagraph"/>
              <w:numPr>
                <w:ilvl w:val="0"/>
                <w:numId w:val="5"/>
              </w:numPr>
            </w:pPr>
            <w:r>
              <w:rPr>
                <w:rStyle w:val="row-content-rich-text"/>
              </w:rPr>
              <w:t xml:space="preserve">When the Commonwealth Rent Assistance is paid to residents for dependants, it becomes assessable income and is included in the rent calculation.</w:t>
            </w:r>
          </w:p>
          <w:p>
            <w:pPr>
              <w:spacing w:after="160"/>
            </w:pPr>
            <w:r>
              <w:rPr>
                <w:rStyle w:val="row-content-rich-text"/>
                <w:b/>
              </w:rPr>
              <w:t xml:space="preserve">South Australia</w:t>
            </w:r>
          </w:p>
          <w:p>
            <w:pPr>
              <w:pStyle w:val="ListParagraph"/>
              <w:numPr>
                <w:ilvl w:val="0"/>
                <w:numId w:val="6"/>
              </w:numPr>
            </w:pPr>
            <w:r>
              <w:rPr>
                <w:rStyle w:val="row-content-rich-text"/>
              </w:rPr>
              <w:t xml:space="preserve">Housing SA did not supply the ‘dwelling history’ file for 2016–17, which includes the variables necessary for the calculation of turnaround time</w:t>
            </w:r>
          </w:p>
          <w:p>
            <w:pPr>
              <w:spacing w:after="160"/>
            </w:pPr>
            <w:r>
              <w:rPr>
                <w:rStyle w:val="row-content-rich-text"/>
                <w:b/>
              </w:rPr>
              <w:t xml:space="preserve">Tasmania</w:t>
            </w:r>
          </w:p>
          <w:p>
            <w:pPr>
              <w:pStyle w:val="ListParagraph"/>
              <w:numPr>
                <w:ilvl w:val="0"/>
                <w:numId w:val="7"/>
              </w:numPr>
            </w:pPr>
            <w:r>
              <w:rPr>
                <w:rStyle w:val="row-content-rich-text"/>
              </w:rPr>
              <w:t xml:space="preserve">Housing Tasmania implemented a new Housing Management System (HMS) in November 2016.This has resulted in some income details not being available. This information will improve over time. Due to the introduction of the new HMS it is not possible to link the waitlist file with the household file for applicants who registered prior to October 2016.</w:t>
            </w:r>
          </w:p>
          <w:p>
            <w:pPr>
              <w:spacing w:after="160"/>
            </w:pPr>
            <w:r>
              <w:rPr>
                <w:rStyle w:val="row-content-rich-text"/>
                <w:b/>
              </w:rPr>
              <w:t xml:space="preserve">Northern Territory</w:t>
            </w:r>
          </w:p>
          <w:p>
            <w:pPr>
              <w:pStyle w:val="ListParagraph"/>
              <w:numPr>
                <w:ilvl w:val="0"/>
                <w:numId w:val="8"/>
              </w:numPr>
            </w:pPr>
            <w:r>
              <w:rPr>
                <w:rStyle w:val="row-content-rich-text"/>
              </w:rPr>
              <w:t xml:space="preserve">Data relating to remote dwellings have been reported for the first time in the 2016–17 collection. They were transferred from the Indigenous Community Housing collection between 2008 and 2010 and have been excluded from administrative data collections between 2008–09 and 2015–16, inclusively. Due to data quality issues, only limited aggregate information relating to stock numbers and overcrowding has been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individual states and territories may not be comparable to previous years due to changes in systems and processes which have led to differences in the accuracy and completeness of the data over time. Differences between states and territories concerning incomplete or missing information, out-of-date information and coding errors can affect the coherence of the outputs.</w:t>
            </w:r>
          </w:p>
          <w:p>
            <w:pPr>
              <w:spacing w:after="160"/>
            </w:pPr>
            <w:r>
              <w:rPr>
                <w:rStyle w:val="row-content-rich-text"/>
              </w:rPr>
              <w:t xml:space="preserve">Coherence over time has also been affected by changes in methodology:</w:t>
            </w:r>
          </w:p>
          <w:p>
            <w:pPr>
              <w:pStyle w:val="ListParagraph"/>
              <w:numPr>
                <w:ilvl w:val="0"/>
                <w:numId w:val="9"/>
              </w:numPr>
            </w:pPr>
            <w:r>
              <w:rPr>
                <w:rStyle w:val="row-content-rich-text"/>
              </w:rPr>
              <w:t xml:space="preserve">Measurements using low income cannot be directly compared with low income figures produced prior to 2009–10 due to a change in methodology. Low income cut-offs were again revised for 2014–15 data based on ABS 2013–14 Survey of Income and Housing results. This led to substantial increases in the number of households considered to be receiving a low income. Care is therefore also required when comparing data from 2014–15 onwards with previous years.</w:t>
            </w:r>
          </w:p>
          <w:p>
            <w:pPr>
              <w:pStyle w:val="ListParagraph"/>
              <w:numPr>
                <w:ilvl w:val="0"/>
                <w:numId w:val="9"/>
              </w:numPr>
            </w:pPr>
            <w:r>
              <w:rPr>
                <w:rStyle w:val="row-content-rich-text"/>
              </w:rPr>
              <w:t xml:space="preserve">Measurements of overcrowding cannot be directly compared with figures produced prior to 2009–10 due to a change in methodology. Prior to 2009–10, overcrowding was measured using a proxy standard of ‘2 or more bedrooms are required’. From 2009–10 onwards, overcrowding was measured using the Canadian National Occupancy Standard (CNOS) of ‘1 or more bedrooms are required‘.</w:t>
            </w:r>
          </w:p>
          <w:p>
            <w:pPr>
              <w:pStyle w:val="ListParagraph"/>
              <w:numPr>
                <w:ilvl w:val="0"/>
                <w:numId w:val="9"/>
              </w:numPr>
            </w:pPr>
            <w:r>
              <w:rPr>
                <w:rStyle w:val="row-content-rich-text"/>
              </w:rPr>
              <w:t xml:space="preserve">Measurements of underutilisation cannot be directly compared with figures produced prior to 2011–12 due to changes in methodology. Prior to 2009–10, underutilisation was measured using a proxy standard of ‘2 or more spare bedrooms’. From 2009–10 to 2010–11, underutilisation was measured using the CNOS of ‘1 or more spare bedrooms‘. From 2011–12 onwards, underutilisation was measured using the revised CNOS of ‘2 or more spare bedrooms‘.</w:t>
            </w:r>
          </w:p>
          <w:p>
            <w:pPr>
              <w:spacing w:after="160"/>
            </w:pPr>
            <w:r>
              <w:rPr>
                <w:rStyle w:val="row-content-rich-text"/>
              </w:rPr>
              <w:t xml:space="preserve">State and Territory Government housing authorities’ bedroom entitlement policies may differ from the CNOS which is used in dwelling utilisation calculations.</w:t>
            </w:r>
          </w:p>
          <w:p>
            <w:pPr>
              <w:spacing w:after="160"/>
            </w:pPr>
            <w:r>
              <w:rPr>
                <w:rStyle w:val="row-content-rich-text"/>
              </w:rPr>
              <w:t xml:space="preserve"> </w:t>
            </w:r>
          </w:p>
          <w:p>
            <w:pPr>
              <w:spacing w:after="160"/>
            </w:pPr>
            <w:r>
              <w:rPr>
                <w:rStyle w:val="row-content-rich-text"/>
                <w:i/>
              </w:rPr>
              <w:t xml:space="preserve">State- and territory-specific issues:</w:t>
            </w:r>
            <w:r>
              <w:br/>
            </w:r>
            <w:r>
              <w:rPr>
                <w:rStyle w:val="row-content-rich-text"/>
                <w:b/>
              </w:rPr>
              <w:t xml:space="preserve">South Australia</w:t>
            </w:r>
          </w:p>
          <w:p>
            <w:pPr>
              <w:pStyle w:val="ListParagraph"/>
              <w:numPr>
                <w:ilvl w:val="0"/>
                <w:numId w:val="10"/>
              </w:numPr>
            </w:pPr>
            <w:r>
              <w:rPr>
                <w:rStyle w:val="row-content-rich-text"/>
              </w:rPr>
              <w:t xml:space="preserve">Since 2012–13, Housing SA has been unable to provide the ‘dwelling history’ file which includes the variables necessary for the calculation of turnaround time.</w:t>
            </w:r>
          </w:p>
          <w:p>
            <w:pPr>
              <w:spacing w:after="160"/>
            </w:pPr>
            <w:r>
              <w:rPr>
                <w:rStyle w:val="row-content-rich-text"/>
                <w:b/>
              </w:rPr>
              <w:t xml:space="preserve">Tasmania </w:t>
            </w:r>
          </w:p>
          <w:p>
            <w:pPr>
              <w:pStyle w:val="ListParagraph"/>
              <w:numPr>
                <w:ilvl w:val="0"/>
                <w:numId w:val="11"/>
              </w:numPr>
            </w:pPr>
            <w:r>
              <w:rPr>
                <w:rStyle w:val="row-content-rich-text"/>
              </w:rPr>
              <w:t xml:space="preserve">The introduction of the new Housing Assessment Prioritisation System (HAPS) in June 2015 has meant that ‘reasons for greatest need’ were unavailable in 2015–16.</w:t>
            </w:r>
          </w:p>
          <w:p>
            <w:pPr>
              <w:spacing w:after="160"/>
            </w:pPr>
            <w:r>
              <w:rPr>
                <w:rStyle w:val="row-content-rich-text"/>
                <w:b/>
              </w:rPr>
              <w:t xml:space="preserve">Northern Territory</w:t>
            </w:r>
          </w:p>
          <w:p>
            <w:pPr>
              <w:pStyle w:val="ListParagraph"/>
              <w:numPr>
                <w:ilvl w:val="0"/>
                <w:numId w:val="12"/>
              </w:numPr>
            </w:pPr>
            <w:r>
              <w:rPr>
                <w:rStyle w:val="row-content-rich-text"/>
              </w:rPr>
              <w:t xml:space="preserve">Around 5,000 social housing dwellings in the Northern Territory were transferred from the Indigenous Community Housing collection to remote public housing between 2008 and 2010 and have been excluded from administrative data collections between 2008–09 and 2015–16, inclusive. In 2016–17, these dwellings were reported in the SOMIH collection for the first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e9cb96332b4457e">
              <w:r>
                <w:rPr>
                  <w:rStyle w:val="Hyperlink"/>
                </w:rPr>
                <w:t xml:space="preserve">State Owned and Managed Indigenous Housing Data Collection, 2015–16; Quality Statement</w:t>
              </w:r>
            </w:hyperlink>
          </w:p>
          <w:p>
            <w:pPr>
              <w:spacing w:before="0" w:after="0"/>
            </w:pPr>
            <w:r>
              <w:rPr>
                <w:rStyle w:val="row-content"/>
                <w:color w:val="244061"/>
              </w:rPr>
              <w:t xml:space="preserve">       </w:t>
            </w:r>
            <w:hyperlink w:history="true" r:id="Rb36a07bcf7b64591">
              <w:r>
                <w:rPr>
                  <w:rStyle w:val="Hyperlink"/>
                  <w:color w:val="244061"/>
                </w:rPr>
                <w:t xml:space="preserve">AIHW Data Quality Statements</w:t>
              </w:r>
            </w:hyperlink>
            <w:r>
              <w:rPr>
                <w:rStyle w:val="row-content"/>
                <w:color w:val="244061"/>
              </w:rPr>
              <w:t xml:space="preserve">, Superseded 22/12/2017</w:t>
            </w:r>
          </w:p>
          <w:p>
            <w:r>
              <w:br/>
            </w:r>
            <w:r>
              <w:rPr>
                <w:rStyle w:val="row-content"/>
              </w:rPr>
              <w:t xml:space="preserve">Has been superseded by </w:t>
            </w:r>
            <w:hyperlink w:history="true" r:id="Rbc81ab3a7a7e4335">
              <w:r>
                <w:rPr>
                  <w:rStyle w:val="Hyperlink"/>
                </w:rPr>
                <w:t xml:space="preserve">State Owned and Managed Indigenous Housing Data Collection, 2017–18; Quality Statement</w:t>
              </w:r>
            </w:hyperlink>
          </w:p>
          <w:p>
            <w:pPr>
              <w:spacing w:before="0" w:after="0"/>
            </w:pPr>
            <w:r>
              <w:rPr>
                <w:rStyle w:val="row-content"/>
                <w:color w:val="244061"/>
              </w:rPr>
              <w:t xml:space="preserve">       </w:t>
            </w:r>
            <w:hyperlink w:history="true" r:id="Rb9ec8285176e4978">
              <w:r>
                <w:rPr>
                  <w:rStyle w:val="Hyperlink"/>
                  <w:color w:val="244061"/>
                </w:rPr>
                <w:t xml:space="preserve">AIHW Data Quality Statements</w:t>
              </w:r>
            </w:hyperlink>
            <w:r>
              <w:rPr>
                <w:rStyle w:val="row-content"/>
                <w:color w:val="244061"/>
              </w:rPr>
              <w:t xml:space="preserve">, Superseded 15/11/2019</w:t>
            </w:r>
          </w:p>
          <w:p>
            <w:r>
              <w:br/>
            </w:r>
          </w:p>
        </w:tc>
      </w:tr>
    </w:tbl>
    <w:p>
      <w:r>
        <w:br/>
      </w:r>
    </w:p>
    <w:sectPr>
      <w:footerReference xmlns:r="http://schemas.openxmlformats.org/officeDocument/2006/relationships" w:type="default" r:id="R9a5e2a50009143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677605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2f9a38d9b74b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5e2a5000914329" /><Relationship Type="http://schemas.openxmlformats.org/officeDocument/2006/relationships/header" Target="/word/header1.xml" Id="R6c52b7a890a84060" /><Relationship Type="http://schemas.openxmlformats.org/officeDocument/2006/relationships/settings" Target="/word/settings.xml" Id="Ra634217b345a4a33" /><Relationship Type="http://schemas.openxmlformats.org/officeDocument/2006/relationships/styles" Target="/word/styles.xml" Id="Rc6fe7a519ae64c66" /><Relationship Type="http://schemas.openxmlformats.org/officeDocument/2006/relationships/hyperlink" Target="https://meteor.aihw.gov.au/RegistrationAuthority/5" TargetMode="External" Id="Rf867512cf88c4f32" /><Relationship Type="http://schemas.openxmlformats.org/officeDocument/2006/relationships/numbering" Target="/word/numbering.xml" Id="R4ff5c932ee2240d8" /><Relationship Type="http://schemas.openxmlformats.org/officeDocument/2006/relationships/hyperlink" Target="https://www.legislation.gov.au/Series/C2004A03450" TargetMode="External" Id="R4057d21d9115408d" /><Relationship Type="http://schemas.openxmlformats.org/officeDocument/2006/relationships/hyperlink" Target="http://www.aihw.gov.au/aihw-board/" TargetMode="External" Id="R47f5819ea6eb42ce" /><Relationship Type="http://schemas.openxmlformats.org/officeDocument/2006/relationships/hyperlink" Target="https://www.legislation.gov.au/Series/C2004A03450" TargetMode="External" Id="R67bd1a7fc4ee44b3" /><Relationship Type="http://schemas.openxmlformats.org/officeDocument/2006/relationships/hyperlink" Target="https://www.legislation.gov.au/Series/C2004A03712" TargetMode="External" Id="Rf6009826571e46af" /><Relationship Type="http://schemas.openxmlformats.org/officeDocument/2006/relationships/hyperlink" Target="http://www.aihw.gov.au/" TargetMode="External" Id="Ree04ac1244fc4a53" /><Relationship Type="http://schemas.openxmlformats.org/officeDocument/2006/relationships/hyperlink" Target="https://www.aihw.gov.au/reports-statistics/health-welfare-services/housing-assistance/overview" TargetMode="External" Id="R5b4cabe91a544a07" /><Relationship Type="http://schemas.openxmlformats.org/officeDocument/2006/relationships/hyperlink" Target="http://www.pc.gov.au/research/ongoing/report-on-government-services" TargetMode="External" Id="R0d13749fd29c4f4b" /><Relationship Type="http://schemas.openxmlformats.org/officeDocument/2006/relationships/hyperlink" Target="https://www.aihw.gov.au/our-services/data-on-request" TargetMode="External" Id="R9606e787cfb64448" /><Relationship Type="http://schemas.openxmlformats.org/officeDocument/2006/relationships/hyperlink" Target="mailto:info@aihw.gov.au" TargetMode="External" Id="R61c7e1ac6dc94630" /><Relationship Type="http://schemas.openxmlformats.org/officeDocument/2006/relationships/hyperlink" Target="https://meteor.aihw.gov.au/content/635961" TargetMode="External" Id="R6d4c83bde3034841" /><Relationship Type="http://schemas.openxmlformats.org/officeDocument/2006/relationships/hyperlink" Target="https://meteor.aihw.gov.au/content/656269" TargetMode="External" Id="Rbe9cb96332b4457e" /><Relationship Type="http://schemas.openxmlformats.org/officeDocument/2006/relationships/hyperlink" Target="https://meteor.aihw.gov.au/RegistrationAuthority/5" TargetMode="External" Id="Rb36a07bcf7b64591" /><Relationship Type="http://schemas.openxmlformats.org/officeDocument/2006/relationships/hyperlink" Target="https://meteor.aihw.gov.au/content/690948" TargetMode="External" Id="Rbc81ab3a7a7e4335" /><Relationship Type="http://schemas.openxmlformats.org/officeDocument/2006/relationships/hyperlink" Target="https://meteor.aihw.gov.au/RegistrationAuthority/5" TargetMode="External" Id="Rb9ec8285176e4978" /></Relationships>
</file>

<file path=word/_rels/header1.xml.rels>&#65279;<?xml version="1.0" encoding="utf-8"?><Relationships xmlns="http://schemas.openxmlformats.org/package/2006/relationships"><Relationship Type="http://schemas.openxmlformats.org/officeDocument/2006/relationships/image" Target="/media/image.png" Id="R0b2f9a38d9b74bb8" /></Relationships>
</file>