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2c9502a4714186" /></Relationships>
</file>

<file path=word/document.xml><?xml version="1.0" encoding="utf-8"?>
<w:document xmlns:r="http://schemas.openxmlformats.org/officeDocument/2006/relationships" xmlns:w="http://schemas.openxmlformats.org/wordprocessingml/2006/main">
  <w:body>
    <w:p>
      <w:pPr>
        <w:pStyle w:val="Title"/>
      </w:pPr>
      <w:r>
        <w:t>Public Rental Housing Data Collection, 2016–17;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Data Collection, 2016–17;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2f3655de194ae1">
              <w:r>
                <w:rPr>
                  <w:rStyle w:val="Hyperlink"/>
                  <w:color w:val="244061"/>
                </w:rPr>
                <w:t xml:space="preserve">AIHW Data Quality Statements</w:t>
              </w:r>
            </w:hyperlink>
            <w:r>
              <w:rPr>
                <w:rStyle w:val="row-content"/>
                <w:color w:val="244061"/>
              </w:rPr>
              <w:t xml:space="preserve">, Superseded 02/01/2019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r>
              <w:br/>
            </w:r>
            <w:r>
              <w:rPr>
                <w:rStyle w:val="row-content-rich-text"/>
              </w:rPr>
              <w:t xml:space="preserve">All states and territories provide a range of public housing programs and maintain administrative data sets about these programs. Extracts of these data sets are provided annually to the Australian Institute of Health and Welfare (AIHW). This collection contains information about public rental housing (PH) dwellings, households assisted and households on the waiting list. Data are provided for the following two reference periods: 2016–17 financial year and point in time at 30 June 2017.</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PH programs run by the states and territories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and which records are included or excluded from a calculation can affect the coherence of the outputs. Coherence over time has also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b896e9ef96b544f0">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e932ca53253c4a04">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ee12ede645854708">
              <w:r>
                <w:rPr>
                  <w:rStyle w:val="Hyperlink"/>
                  <w:i/>
                </w:rPr>
                <w:t xml:space="preserve">Australian Institute of Health and Welfare Act 1987</w:t>
              </w:r>
            </w:hyperlink>
            <w:r>
              <w:rPr>
                <w:rStyle w:val="row-content-rich-text"/>
              </w:rPr>
              <w:t xml:space="preserve">, in conjunction with compliance to the </w:t>
            </w:r>
            <w:hyperlink w:history="true" r:id="R85ffe26607f946bd">
              <w:r>
                <w:rPr>
                  <w:rStyle w:val="Hyperlink"/>
                  <w:i/>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deb3d2bb5d0e4269">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Public Housing (PH) collection is based on the financial year (ending 30 June). The specific reference period for these data is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ba37528174214647">
              <w:r>
                <w:rPr>
                  <w:rStyle w:val="Hyperlink"/>
                  <w:i/>
                </w:rPr>
                <w:t xml:space="preserve">Housing assistance in Australia</w:t>
              </w:r>
            </w:hyperlink>
            <w:r>
              <w:rPr>
                <w:rStyle w:val="row-content-rich-text"/>
              </w:rPr>
              <w:t xml:space="preserve"> reports and the Productivity Commission's annual </w:t>
            </w:r>
            <w:hyperlink w:history="true" r:id="Raad8d19995f14980">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8baf82f0e731418a">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b156acbb4aa44cb4">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6227113a6fb0454e">
              <w:r>
                <w:rPr>
                  <w:rStyle w:val="Hyperlink"/>
                  <w:i/>
                </w:rPr>
                <w:t xml:space="preserve">Public rental housing data set specification 2014-17</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public rental housing programs run by the states and territories and conform well in terms of scope, coverage and reference period.</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disability status</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 </w:t>
            </w:r>
            <w:r>
              <w:rPr>
                <w:rStyle w:val="row-content-rich-text"/>
              </w:rPr>
              <w:t xml:space="preserve">instead. In addition, </w:t>
            </w:r>
            <w:r>
              <w:rPr>
                <w:rStyle w:val="row-content-rich-text"/>
                <w:i/>
              </w:rPr>
              <w:t xml:space="preserve">disability status </w:t>
            </w:r>
            <w:r>
              <w:rPr>
                <w:rStyle w:val="row-content-rich-text"/>
              </w:rPr>
              <w:t xml:space="preserve">is derived using the receipt of a disability pension as a proxy in New South Wales, Victoria and the Northern Territory. Queensland and the Australian Capital Territory reference payment type as well as other information.</w:t>
            </w:r>
          </w:p>
          <w:p>
            <w:pPr>
              <w:pStyle w:val="ListParagraph"/>
              <w:numPr>
                <w:ilvl w:val="0"/>
                <w:numId w:val="3"/>
              </w:numPr>
            </w:pPr>
            <w:r>
              <w:rPr>
                <w:rStyle w:val="row-content-rich-text"/>
              </w:rPr>
              <w:t xml:space="preserve">Information about disability is not reported under eligibility requirements for some programs.</w:t>
            </w:r>
          </w:p>
          <w:p>
            <w:pPr>
              <w:pStyle w:val="ListParagraph"/>
              <w:numPr>
                <w:ilvl w:val="0"/>
                <w:numId w:val="3"/>
              </w:numPr>
            </w:pPr>
            <w:r>
              <w:rPr>
                <w:rStyle w:val="row-content-rich-text"/>
              </w:rPr>
              <w:t xml:space="preserve">Indigenous status is self-identified and not reported under eligibility requirements for some programs.</w:t>
            </w:r>
          </w:p>
          <w:p>
            <w:pPr>
              <w:pStyle w:val="ListParagraph"/>
              <w:numPr>
                <w:ilvl w:val="0"/>
                <w:numId w:val="3"/>
              </w:numPr>
            </w:pPr>
            <w:r>
              <w:rPr>
                <w:rStyle w:val="row-content-rich-text"/>
              </w:rPr>
              <w:t xml:space="preserve">Most states and territories do not update income information for non-rebated households, that is, households who pay the market rent value of the dwellings. Therefore, some household income information may not reflect current income levels. Outputs produced that require income information do not include households with missing income and therefore may not be complete.</w:t>
            </w:r>
          </w:p>
          <w:p>
            <w:pPr>
              <w:pStyle w:val="ListParagraph"/>
              <w:numPr>
                <w:ilvl w:val="0"/>
                <w:numId w:val="3"/>
              </w:numPr>
            </w:pPr>
            <w:r>
              <w:rPr>
                <w:rStyle w:val="row-content-rich-text"/>
              </w:rPr>
              <w:t xml:space="preserve">Waitlist data are reported separately for each social housing program. Where jurisdictions have an integrated waitlist (New South Wales, Queensland, Western Australia, Tasmania, the Australian Capital Territory and the Northern Territory), applicants may be counted once irrespective of the number of programs for which they are applying.</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Data on ‘number of Indigenous households at 30 June’ are incomplete and unreliable. These data are substituted with estimates from the 2016 census.</w:t>
            </w:r>
          </w:p>
          <w:p>
            <w:pPr>
              <w:pStyle w:val="ListParagraph"/>
              <w:numPr>
                <w:ilvl w:val="0"/>
                <w:numId w:val="4"/>
              </w:numPr>
            </w:pPr>
            <w:r>
              <w:rPr>
                <w:rStyle w:val="row-content-rich-text"/>
              </w:rPr>
              <w:t xml:space="preserve">A new maintenance system was introduced during 2016–17. The transition and implementation timing has meant there are significant data gaps in the ‘dwelling history’ file. Therefore, for 2016–17, New South Wales did not supply the ‘dwelling history’ file which includes the variables necessary for the calculation of turnaround time.</w:t>
            </w:r>
          </w:p>
          <w:p>
            <w:pPr>
              <w:pStyle w:val="ListParagraph"/>
              <w:numPr>
                <w:ilvl w:val="0"/>
                <w:numId w:val="4"/>
              </w:numPr>
            </w:pPr>
            <w:r>
              <w:rPr>
                <w:rStyle w:val="row-content-rich-text"/>
              </w:rPr>
              <w:t xml:space="preserve">Income details are only reported for rebated households, that is, 93% of all households.</w:t>
            </w:r>
          </w:p>
          <w:p>
            <w:pPr>
              <w:pStyle w:val="ListParagraph"/>
              <w:numPr>
                <w:ilvl w:val="0"/>
                <w:numId w:val="4"/>
              </w:numPr>
            </w:pPr>
            <w:r>
              <w:rPr>
                <w:rStyle w:val="row-content-rich-text"/>
              </w:rPr>
              <w:t xml:space="preserve">Fewer waitlist applications were closed in 2015–16 because the annual Housing Eligibility Review (HER) process was delayed due to a review and redesign of the process. This process was completed during the 2016–17 reporting period. The 2016–17 waitlist data also excluded suspended applicants. The most frequent reasons for suspending an application include pending receipt of further information; pending receiving information from a client rejecting an offer of accommodation; or if a client is temporarily unable to accept an offer of accommodation for reasons such as illness, hospitalisation or imprisonment. Data may not be comparable to 2015–16 due to outstanding data remediation at that time and the exclusion of suspended applicants.</w:t>
            </w:r>
          </w:p>
          <w:p>
            <w:pPr>
              <w:spacing w:after="160"/>
            </w:pPr>
            <w:r>
              <w:rPr>
                <w:rStyle w:val="row-content-rich-text"/>
                <w:b/>
              </w:rPr>
              <w:t xml:space="preserve">Victoria</w:t>
            </w:r>
          </w:p>
          <w:p>
            <w:pPr>
              <w:pStyle w:val="ListParagraph"/>
              <w:numPr>
                <w:ilvl w:val="0"/>
                <w:numId w:val="5"/>
              </w:numPr>
            </w:pPr>
            <w:r>
              <w:rPr>
                <w:rStyle w:val="row-content-rich-text"/>
              </w:rPr>
              <w:t xml:space="preserve">There was an increase in the number of new applicants on the waiting list, and in particular, those who have a ‘greatest need’. These increases were mainly in the family violence and homelessness categories which is likely to reflect coverage of and response to Victoria's Royal Commission on Family Violence.</w:t>
            </w:r>
          </w:p>
          <w:p>
            <w:pPr>
              <w:pStyle w:val="ListParagraph"/>
              <w:numPr>
                <w:ilvl w:val="0"/>
                <w:numId w:val="5"/>
              </w:numPr>
            </w:pPr>
            <w:r>
              <w:rPr>
                <w:rStyle w:val="row-content-rich-text"/>
              </w:rPr>
              <w:t xml:space="preserve">Household information is not collected from tenancies that are not subsidised.</w:t>
            </w:r>
          </w:p>
          <w:p>
            <w:pPr>
              <w:spacing w:after="160"/>
            </w:pPr>
            <w:r>
              <w:rPr>
                <w:rStyle w:val="row-content-rich-text"/>
                <w:b/>
              </w:rPr>
              <w:t xml:space="preserve">Queensland</w:t>
            </w:r>
          </w:p>
          <w:p>
            <w:pPr>
              <w:pStyle w:val="ListParagraph"/>
              <w:numPr>
                <w:ilvl w:val="0"/>
                <w:numId w:val="6"/>
              </w:numPr>
            </w:pPr>
            <w:r>
              <w:rPr>
                <w:rStyle w:val="row-content-rich-text"/>
              </w:rPr>
              <w:t xml:space="preserve">Income details are only reported for rebated households, that is, 96% of all households.</w:t>
            </w:r>
          </w:p>
          <w:p>
            <w:pPr>
              <w:pStyle w:val="ListParagraph"/>
              <w:numPr>
                <w:ilvl w:val="0"/>
                <w:numId w:val="6"/>
              </w:numPr>
            </w:pPr>
            <w:r>
              <w:rPr>
                <w:rStyle w:val="row-content-rich-text"/>
              </w:rPr>
              <w:t xml:space="preserve">Changes to the Fair Rent Policy, which excludes some income previously counted as assessable, applied from 5 December 2016. Therefore, total assessable income may be lower for some households compared with previous years.</w:t>
            </w:r>
          </w:p>
          <w:p>
            <w:pPr>
              <w:spacing w:after="160"/>
            </w:pPr>
            <w:r>
              <w:rPr>
                <w:rStyle w:val="row-content-rich-text"/>
                <w:b/>
              </w:rPr>
              <w:t xml:space="preserve">Western Australia</w:t>
            </w:r>
          </w:p>
          <w:p>
            <w:pPr>
              <w:pStyle w:val="ListParagraph"/>
              <w:numPr>
                <w:ilvl w:val="0"/>
                <w:numId w:val="7"/>
              </w:numPr>
            </w:pPr>
            <w:r>
              <w:rPr>
                <w:rStyle w:val="row-content-rich-text"/>
              </w:rPr>
              <w:t xml:space="preserve">Collection methodology changed for 2016–17. Initial data extracts are now drawn from current internal reports and then mapped to the production database rather than extracting completely from the database. The extra step produces figures more consistent with the annual report. The variation from figures used in previous years is minimal.</w:t>
            </w:r>
          </w:p>
          <w:p>
            <w:pPr>
              <w:pStyle w:val="ListParagraph"/>
              <w:numPr>
                <w:ilvl w:val="0"/>
                <w:numId w:val="7"/>
              </w:numPr>
            </w:pPr>
            <w:r>
              <w:rPr>
                <w:rStyle w:val="row-content-rich-text"/>
              </w:rPr>
              <w:t xml:space="preserve">Inconsistent data entry practices have produced inconsistent mapping of vacancy codes.</w:t>
            </w:r>
          </w:p>
          <w:p>
            <w:pPr>
              <w:pStyle w:val="ListParagraph"/>
              <w:numPr>
                <w:ilvl w:val="0"/>
                <w:numId w:val="7"/>
              </w:numPr>
            </w:pPr>
            <w:r>
              <w:rPr>
                <w:rStyle w:val="row-content-rich-text"/>
              </w:rPr>
              <w:t xml:space="preserve">Market rent has dropped due to changes in the local rental market. However, the rents paid have increased due to the ongoing implementation of a new rent model. This has led to a decrease in the average weekly rental subsidy per household.</w:t>
            </w:r>
          </w:p>
          <w:p>
            <w:pPr>
              <w:spacing w:after="160"/>
            </w:pPr>
            <w:r>
              <w:rPr>
                <w:rStyle w:val="row-content-rich-text"/>
                <w:i/>
              </w:rPr>
              <w:t xml:space="preserve">Special needs data:</w:t>
            </w:r>
          </w:p>
          <w:p>
            <w:pPr>
              <w:pStyle w:val="ListParagraph"/>
              <w:numPr>
                <w:ilvl w:val="0"/>
                <w:numId w:val="8"/>
              </w:numPr>
            </w:pPr>
            <w:r>
              <w:rPr>
                <w:rStyle w:val="row-content-rich-text"/>
              </w:rPr>
              <w:t xml:space="preserve">Indigenous data is voluntarily recorded and known to be an undercount.</w:t>
            </w:r>
          </w:p>
          <w:p>
            <w:pPr>
              <w:pStyle w:val="ListParagraph"/>
              <w:numPr>
                <w:ilvl w:val="0"/>
                <w:numId w:val="8"/>
              </w:numPr>
            </w:pPr>
            <w:r>
              <w:rPr>
                <w:rStyle w:val="row-content-rich-text"/>
              </w:rPr>
              <w:t xml:space="preserve">Disability is only recorded if it contributes to housing needs, so many people with disabilities are flagged as unknown.</w:t>
            </w:r>
          </w:p>
          <w:p>
            <w:pPr>
              <w:spacing w:after="160"/>
            </w:pPr>
            <w:r>
              <w:rPr>
                <w:rStyle w:val="row-content-rich-text"/>
              </w:rPr>
              <w:t xml:space="preserve">As a result, special needs allocations will be undercounted.</w:t>
            </w:r>
          </w:p>
          <w:p>
            <w:pPr>
              <w:spacing w:after="160"/>
            </w:pPr>
            <w:r>
              <w:rPr>
                <w:rStyle w:val="row-content-rich-text"/>
                <w:i/>
              </w:rPr>
              <w:t xml:space="preserve">Waitlist data:</w:t>
            </w:r>
          </w:p>
          <w:p>
            <w:pPr>
              <w:pStyle w:val="ListParagraph"/>
              <w:numPr>
                <w:ilvl w:val="0"/>
                <w:numId w:val="9"/>
              </w:numPr>
            </w:pPr>
            <w:r>
              <w:rPr>
                <w:rStyle w:val="row-content-rich-text"/>
              </w:rPr>
              <w:t xml:space="preserve">Due to data entry issues, some households listed on the wait for priority have been housed from the wait turn list rather than the priority list. In addition, Western Australia does not collect current rent paid for waitlist applicants and are therefore unable to determine households who are in greatest need due to very high housing costs. These factors lead to an undercount of greatest needs allocations.</w:t>
            </w:r>
          </w:p>
          <w:p>
            <w:pPr>
              <w:pStyle w:val="ListParagraph"/>
              <w:numPr>
                <w:ilvl w:val="0"/>
                <w:numId w:val="9"/>
              </w:numPr>
            </w:pPr>
            <w:r>
              <w:rPr>
                <w:rStyle w:val="row-content-rich-text"/>
              </w:rPr>
              <w:t xml:space="preserve">In some cases, greatest need data is not recorded and is assumed to be the application date.</w:t>
            </w:r>
          </w:p>
          <w:p>
            <w:pPr>
              <w:spacing w:after="160"/>
            </w:pPr>
            <w:r>
              <w:rPr>
                <w:rStyle w:val="row-content-rich-text"/>
                <w:b/>
              </w:rPr>
              <w:t xml:space="preserve">South Australia</w:t>
            </w:r>
          </w:p>
          <w:p>
            <w:pPr>
              <w:pStyle w:val="ListParagraph"/>
              <w:numPr>
                <w:ilvl w:val="0"/>
                <w:numId w:val="10"/>
              </w:numPr>
            </w:pPr>
            <w:r>
              <w:rPr>
                <w:rStyle w:val="row-content-rich-text"/>
              </w:rPr>
              <w:t xml:space="preserve">Housing SA did not supply the ‘dwelling history’ file for 2016–17, which includes the variables necessary for the calculation of turnaround time.</w:t>
            </w:r>
          </w:p>
          <w:p>
            <w:pPr>
              <w:spacing w:after="160"/>
            </w:pPr>
            <w:r>
              <w:rPr>
                <w:rStyle w:val="row-content-rich-text"/>
                <w:b/>
              </w:rPr>
              <w:t xml:space="preserve">Tasmania</w:t>
            </w:r>
          </w:p>
          <w:p>
            <w:pPr>
              <w:pStyle w:val="ListParagraph"/>
              <w:numPr>
                <w:ilvl w:val="0"/>
                <w:numId w:val="11"/>
              </w:numPr>
            </w:pPr>
            <w:r>
              <w:rPr>
                <w:rStyle w:val="row-content-rich-text"/>
              </w:rPr>
              <w:t xml:space="preserve">Housing Tasmania implemented a new Housing Management System (HMS) in November 2016. This has resulted in some income details not being available. This information will improve over time. Due to the introduction of the new HMS it is not possible to link the waitlist file with the household file for applicants who registered prior to October 2016.</w:t>
            </w:r>
          </w:p>
          <w:p>
            <w:pPr>
              <w:spacing w:after="160"/>
            </w:pPr>
            <w:r>
              <w:rPr>
                <w:rStyle w:val="row-content-rich-text"/>
                <w:b/>
              </w:rPr>
              <w:t xml:space="preserve">Australian Capital Territory</w:t>
            </w:r>
          </w:p>
          <w:p>
            <w:pPr>
              <w:pStyle w:val="ListParagraph"/>
              <w:numPr>
                <w:ilvl w:val="0"/>
                <w:numId w:val="12"/>
              </w:numPr>
            </w:pPr>
            <w:r>
              <w:rPr>
                <w:rStyle w:val="row-content-rich-text"/>
              </w:rPr>
              <w:t xml:space="preserve">Housing ACT is undertaking a major property replacement program, with several multi-unit sites being emptied over 2016–17 and clients relocated. The properties may have excessive vacant time while the sites are being cleared until the time the property is disposed of.</w:t>
            </w:r>
          </w:p>
          <w:p>
            <w:pPr>
              <w:spacing w:after="160"/>
            </w:pPr>
            <w:r>
              <w:rPr>
                <w:rStyle w:val="row-content-rich-text"/>
                <w:b/>
              </w:rPr>
              <w:t xml:space="preserve">Northern Territory</w:t>
            </w:r>
          </w:p>
          <w:p>
            <w:pPr>
              <w:pStyle w:val="ListParagraph"/>
              <w:numPr>
                <w:ilvl w:val="0"/>
                <w:numId w:val="13"/>
              </w:numPr>
            </w:pPr>
            <w:r>
              <w:rPr>
                <w:rStyle w:val="row-content-rich-text"/>
              </w:rPr>
              <w:t xml:space="preserve">The number of households that relocated from one public housing dwelling to another public rental housing dwelling increased in 2016–17 due to a rise in the occurrence social housing head leases. The Social Housing Head Leasing initiative is designed to promote the delivery of social housing dwellings by signing long term leases between the Department and dwelling owners. The leased dwellings are then subleased to tenants that qualify for social housing. The program is aimed at reducing wait lists, create a private/public housing mix and reduce the average age of the social housing portfolio. The first social housing head leased dwellings commenced December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14"/>
              </w:numPr>
            </w:pPr>
            <w:r>
              <w:rPr>
                <w:rStyle w:val="row-content-rich-text"/>
              </w:rPr>
              <w:t xml:space="preserve">Measurements using low income cannot be directly compared with low income figures produced prior to 2009–10 due to a change in methodology. Low income cut-offs were again revised for 2014–15 data based on ABS 2013–14 Survey of Income and Housing results. This led to substantial increases in the number of households considered to be receiving a low income. Care is therefore also required when comparing data from 2014–15 onwards with previous years.</w:t>
            </w:r>
          </w:p>
          <w:p>
            <w:pPr>
              <w:pStyle w:val="ListParagraph"/>
              <w:numPr>
                <w:ilvl w:val="0"/>
                <w:numId w:val="14"/>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14"/>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rPr>
              <w:t xml:space="preserve"> </w:t>
            </w:r>
          </w:p>
          <w:p>
            <w:pPr>
              <w:spacing w:after="160"/>
            </w:pPr>
            <w:r>
              <w:rPr>
                <w:rStyle w:val="row-content-rich-text"/>
                <w:i/>
              </w:rPr>
              <w:t xml:space="preserve">State- and territory-specific issues:</w:t>
            </w:r>
            <w:r>
              <w:br/>
            </w:r>
            <w:r>
              <w:rPr>
                <w:rStyle w:val="row-content-rich-text"/>
                <w:b/>
              </w:rPr>
              <w:t xml:space="preserve">Western Australia</w:t>
            </w:r>
          </w:p>
          <w:p>
            <w:pPr>
              <w:pStyle w:val="ListParagraph"/>
              <w:numPr>
                <w:ilvl w:val="0"/>
                <w:numId w:val="15"/>
              </w:numPr>
            </w:pPr>
            <w:r>
              <w:rPr>
                <w:rStyle w:val="row-content-rich-text"/>
              </w:rPr>
              <w:t xml:space="preserve">The Housing Authority WA changed core systems during 2014–15 resulting in a number of differences in recording practices and an amalgamation of data from the old and new systems. The 2015–16 reporting period was the first full year in which the new system was the principal data source. Therefore, any comparisons with previous years for Western Australia data should be undertaken with caution.</w:t>
            </w:r>
          </w:p>
          <w:p>
            <w:pPr>
              <w:spacing w:after="160"/>
            </w:pPr>
            <w:r>
              <w:rPr>
                <w:rStyle w:val="row-content-rich-text"/>
                <w:b/>
              </w:rPr>
              <w:t xml:space="preserve">South Australia</w:t>
            </w:r>
          </w:p>
          <w:p>
            <w:pPr>
              <w:pStyle w:val="ListParagraph"/>
              <w:numPr>
                <w:ilvl w:val="0"/>
                <w:numId w:val="16"/>
              </w:numPr>
            </w:pPr>
            <w:r>
              <w:rPr>
                <w:rStyle w:val="row-content-rich-text"/>
              </w:rPr>
              <w:t xml:space="preserve">Since 2012–13, Housing SA has been unable to provide the ‘dwelling history’ file which includes the variables necessary for the calculation of turnaround time.</w:t>
            </w:r>
          </w:p>
          <w:p>
            <w:pPr>
              <w:spacing w:after="160"/>
            </w:pPr>
            <w:r>
              <w:rPr>
                <w:rStyle w:val="row-content-rich-text"/>
                <w:b/>
              </w:rPr>
              <w:t xml:space="preserve">Northern Territory</w:t>
            </w:r>
          </w:p>
          <w:p>
            <w:pPr>
              <w:pStyle w:val="ListParagraph"/>
              <w:numPr>
                <w:ilvl w:val="0"/>
                <w:numId w:val="17"/>
              </w:numPr>
            </w:pPr>
            <w:r>
              <w:rPr>
                <w:rStyle w:val="row-content-rich-text"/>
              </w:rPr>
              <w:t xml:space="preserve">Around 5,000 social housing dwellings in the Northern Territory were transferred from the Indigenous Community Housing collection to remote public housing between 2008 and 2010 and have been excluded from administrative data collections between 2008–09 and 2015–16, inclusive. In 2016–17, these dwellings were reported in the State Owned and Managed Indigenous Housing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7ad1303bbb4678">
              <w:r>
                <w:rPr>
                  <w:rStyle w:val="Hyperlink"/>
                </w:rPr>
                <w:t xml:space="preserve">Public Rental Housing Data Collection, 2015–16; Quality Statement</w:t>
              </w:r>
            </w:hyperlink>
          </w:p>
          <w:p>
            <w:pPr>
              <w:pStyle w:val="registration-status"/>
              <w:spacing w:before="0" w:after="0"/>
            </w:pPr>
            <w:hyperlink w:history="true" r:id="Ra786aa7cba9b436e">
              <w:r>
                <w:rPr>
                  <w:rStyle w:val="Hyperlink"/>
                  <w:color w:val="244061"/>
                </w:rPr>
                <w:t xml:space="preserve">AIHW Data Quality Statements</w:t>
              </w:r>
            </w:hyperlink>
            <w:r>
              <w:rPr>
                <w:rStyle w:val="row-content"/>
                <w:color w:val="244061"/>
              </w:rPr>
              <w:t xml:space="preserve">, Superseded 22/12/2017</w:t>
            </w:r>
          </w:p>
          <w:p>
            <w:r>
              <w:br/>
            </w:r>
            <w:r>
              <w:rPr>
                <w:rStyle w:val="row-content"/>
              </w:rPr>
              <w:t xml:space="preserve">Has been superseded by </w:t>
            </w:r>
            <w:hyperlink w:history="true" r:id="Rd4436ec519954f8a">
              <w:r>
                <w:rPr>
                  <w:rStyle w:val="Hyperlink"/>
                </w:rPr>
                <w:t xml:space="preserve">Public Rental Housing Data Collection, 2017–18; Quality Statement</w:t>
              </w:r>
            </w:hyperlink>
          </w:p>
          <w:p>
            <w:pPr>
              <w:pStyle w:val="registration-status"/>
              <w:spacing w:before="0" w:after="0"/>
            </w:pPr>
            <w:hyperlink w:history="true" r:id="R1bd3f99da0e845da">
              <w:r>
                <w:rPr>
                  <w:rStyle w:val="Hyperlink"/>
                  <w:color w:val="244061"/>
                </w:rPr>
                <w:t xml:space="preserve">AIHW Data Quality Statements</w:t>
              </w:r>
            </w:hyperlink>
            <w:r>
              <w:rPr>
                <w:rStyle w:val="row-content"/>
                <w:color w:val="244061"/>
              </w:rPr>
              <w:t xml:space="preserve">, Superseded 15/11/2019</w:t>
            </w:r>
          </w:p>
          <w:p>
            <w:r>
              <w:br/>
            </w:r>
          </w:p>
        </w:tc>
      </w:tr>
    </w:tbl>
    <w:p>
      <w:r>
        <w:br/>
      </w:r>
    </w:p>
    <w:sectPr>
      <w:footerReference xmlns:r="http://schemas.openxmlformats.org/officeDocument/2006/relationships" w:type="default" r:id="R4fd8345626a344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677603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a152ba024042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d8345626a344be" /><Relationship Type="http://schemas.openxmlformats.org/officeDocument/2006/relationships/header" Target="/word/header1.xml" Id="Rb8db70b7e8184bc4" /><Relationship Type="http://schemas.openxmlformats.org/officeDocument/2006/relationships/settings" Target="/word/settings.xml" Id="R0cd37249be404d7b" /><Relationship Type="http://schemas.openxmlformats.org/officeDocument/2006/relationships/styles" Target="/word/styles.xml" Id="R816a9113d0314dbf" /><Relationship Type="http://schemas.openxmlformats.org/officeDocument/2006/relationships/numbering" Target="/word/numbering.xml" Id="R7f8367af4ae94a0b" /><Relationship Type="http://schemas.openxmlformats.org/officeDocument/2006/relationships/hyperlink" Target="https://meteor.aihw.gov.au/RegistrationAuthority/5" TargetMode="External" Id="R2b2f3655de194ae1" /><Relationship Type="http://schemas.openxmlformats.org/officeDocument/2006/relationships/hyperlink" Target="https://www.legislation.gov.au/Series/C2004A03450#" TargetMode="External" Id="Rb896e9ef96b544f0" /><Relationship Type="http://schemas.openxmlformats.org/officeDocument/2006/relationships/hyperlink" Target="http://www.aihw.gov.au/aihw-board/" TargetMode="External" Id="Re932ca53253c4a04" /><Relationship Type="http://schemas.openxmlformats.org/officeDocument/2006/relationships/hyperlink" Target="https://www.legislation.gov.au/Series/C2004A03450" TargetMode="External" Id="Ree12ede645854708" /><Relationship Type="http://schemas.openxmlformats.org/officeDocument/2006/relationships/hyperlink" Target="https://www.legislation.gov.au/Series/C2004A03712" TargetMode="External" Id="R85ffe26607f946bd" /><Relationship Type="http://schemas.openxmlformats.org/officeDocument/2006/relationships/hyperlink" Target="http://www.aihw.gov.au/" TargetMode="External" Id="Rdeb3d2bb5d0e4269" /><Relationship Type="http://schemas.openxmlformats.org/officeDocument/2006/relationships/hyperlink" Target="https://www.aihw.gov.au/reports-statistics/health-welfare-services/housing-assistance/overview" TargetMode="External" Id="Rba37528174214647" /><Relationship Type="http://schemas.openxmlformats.org/officeDocument/2006/relationships/hyperlink" Target="http://www.pc.gov.au/research/ongoing/report-on-government-services" TargetMode="External" Id="Raad8d19995f14980" /><Relationship Type="http://schemas.openxmlformats.org/officeDocument/2006/relationships/hyperlink" Target="https://www.aihw.gov.au/our-services/data-on-request" TargetMode="External" Id="R8baf82f0e731418a" /><Relationship Type="http://schemas.openxmlformats.org/officeDocument/2006/relationships/hyperlink" Target="mailto:info@aihw.gov.au" TargetMode="External" Id="Rb156acbb4aa44cb4" /><Relationship Type="http://schemas.openxmlformats.org/officeDocument/2006/relationships/hyperlink" Target="https://meteor.aihw.gov.au/content/635946" TargetMode="External" Id="R6227113a6fb0454e" /><Relationship Type="http://schemas.openxmlformats.org/officeDocument/2006/relationships/hyperlink" Target="https://meteor.aihw.gov.au/content/656267" TargetMode="External" Id="R707ad1303bbb4678" /><Relationship Type="http://schemas.openxmlformats.org/officeDocument/2006/relationships/hyperlink" Target="https://meteor.aihw.gov.au/RegistrationAuthority/5" TargetMode="External" Id="Ra786aa7cba9b436e" /><Relationship Type="http://schemas.openxmlformats.org/officeDocument/2006/relationships/hyperlink" Target="https://meteor.aihw.gov.au/content/690927" TargetMode="External" Id="Rd4436ec519954f8a" /><Relationship Type="http://schemas.openxmlformats.org/officeDocument/2006/relationships/hyperlink" Target="https://meteor.aihw.gov.au/RegistrationAuthority/5" TargetMode="External" Id="R1bd3f99da0e845da" /></Relationships>
</file>

<file path=word/_rels/header1.xml.rels>&#65279;<?xml version="1.0" encoding="utf-8"?><Relationships xmlns="http://schemas.openxmlformats.org/package/2006/relationships"><Relationship Type="http://schemas.openxmlformats.org/officeDocument/2006/relationships/image" Target="/media/image.png" Id="R74a152ba02404200" /></Relationships>
</file>