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745c9bdde6a4c3f"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 unpaid  full-time equivalent  positions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 unpaid  full-time equivalent  positions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677147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90009fa99b48bb">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Aboriginal and Torres Strait Islander standalone substance use service unpaid full-time equivalent positions cluster describes the number and type of full-time equivalent (FTE) positions for which the standalone substance use service did </w:t>
            </w:r>
            <w:r>
              <w:rPr>
                <w:rStyle w:val="row-content-rich-text"/>
                <w:i/>
              </w:rPr>
              <w:t xml:space="preserve">not</w:t>
            </w:r>
            <w:r>
              <w:rPr>
                <w:rStyle w:val="row-content-rich-text"/>
              </w:rPr>
              <w:t xml:space="preserve"> pay wages and salaries at the end of the reporting period.</w:t>
            </w:r>
          </w:p>
          <w:p>
            <w:pPr>
              <w:spacing w:after="160"/>
            </w:pPr>
            <w:r>
              <w:rPr>
                <w:rStyle w:val="row-content-rich-text"/>
              </w:rPr>
              <w:t xml:space="preserve">The unpaid FTE positions are further broken down by Indigenous status, and the Aboriginal and Torres Strait Islander health workers by sex and Indigenous status.</w:t>
            </w:r>
          </w:p>
          <w:p>
            <w:pPr>
              <w:spacing w:after="160"/>
            </w:pPr>
            <w:r>
              <w:rPr>
                <w:rStyle w:val="row-content-rich-text"/>
                <w:b/>
              </w:rPr>
              <w:t xml:space="preserve">Aboriginal and Torres Strait Islander standalone substance use service unpaid FTE positions</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 </w:t>
                  </w:r>
                </w:p>
              </w:tc>
              <w:tc>
                <w:tcPr>
                  <w:tcW w:w="1000" w:type="pct"/>
                  <w:vAlign w:val="top"/>
                </w:tcPr>
                <w:p>
                  <w:r>
                    <w:rPr>
                      <w:b/>
                    </w:rPr>
                    <w:t xml:space="preserve">Aboriginal and Torres Strait Islander</w:t>
                  </w:r>
                </w:p>
              </w:tc>
              <w:tc>
                <w:tcPr>
                  <w:tcW w:w="750" w:type="pct"/>
                  <w:vAlign w:val="top"/>
                </w:tcPr>
                <w:p>
                  <w:r>
                    <w:rPr>
                      <w:b/>
                    </w:rPr>
                    <w:t xml:space="preserve">Non-Indigenous</w:t>
                  </w:r>
                </w:p>
              </w:tc>
              <w:tc>
                <w:tcPr>
                  <w:tcW w:w="650" w:type="pct"/>
                  <w:vAlign w:val="top"/>
                </w:tcPr>
                <w:p>
                  <w:r>
                    <w:rPr>
                      <w:b/>
                    </w:rPr>
                    <w:t xml:space="preserve">Total</w:t>
                  </w:r>
                </w:p>
              </w:tc>
            </w:tr>
            <w:tr>
              <w:trPr/>
              <w:tc>
                <w:tcPr>
                  <w:tcW w:w="2500" w:type="pct"/>
                  <w:vAlign w:val="top"/>
                </w:tcPr>
                <w:p>
                  <w:r>
                    <w:t xml:space="preserve">Aboriginal and Torres Strait Islander health workers - Male</w:t>
                  </w:r>
                </w:p>
              </w:tc>
              <w:tc>
                <w:tcPr>
                  <w:tcW w:w="1000" w:type="pct"/>
                  <w:vAlign w:val="top"/>
                </w:tcPr>
                <w:p>
                  <w:r>
                    <w:t xml:space="preserve">N[NNN]</w:t>
                  </w:r>
                </w:p>
              </w:tc>
              <w:tc>
                <w:tcPr>
                  <w:tcW w:w="750" w:type="pct"/>
                  <w:vAlign w:val="top"/>
                </w:tcPr>
                <w:p>
                  <w:r>
                    <w:t xml:space="preserve">N[NNN]</w:t>
                  </w:r>
                </w:p>
              </w:tc>
              <w:tc>
                <w:tcPr>
                  <w:tcW w:w="650" w:type="pct"/>
                  <w:vAlign w:val="top"/>
                </w:tcPr>
                <w:p>
                  <w:r>
                    <w:t xml:space="preserve">N[NNN]</w:t>
                  </w:r>
                </w:p>
              </w:tc>
            </w:tr>
            <w:tr>
              <w:trPr/>
              <w:tc>
                <w:tcPr>
                  <w:tcW w:w="2500" w:type="pct"/>
                  <w:vAlign w:val="top"/>
                </w:tcPr>
                <w:p>
                  <w:r>
                    <w:t xml:space="preserve">Aboriginal and Torres Strait Islander health workers - Female</w:t>
                  </w:r>
                </w:p>
              </w:tc>
              <w:tc>
                <w:tcPr>
                  <w:tcW w:w="1000" w:type="pct"/>
                  <w:vAlign w:val="top"/>
                </w:tcPr>
                <w:p>
                  <w:r>
                    <w:t xml:space="preserve">N[NNN]</w:t>
                  </w:r>
                </w:p>
              </w:tc>
              <w:tc>
                <w:tcPr>
                  <w:tcW w:w="750" w:type="pct"/>
                  <w:vAlign w:val="top"/>
                </w:tcPr>
                <w:p>
                  <w:r>
                    <w:t xml:space="preserve">N[NNN]</w:t>
                  </w:r>
                </w:p>
              </w:tc>
              <w:tc>
                <w:tcPr>
                  <w:tcW w:w="650" w:type="pct"/>
                  <w:vAlign w:val="top"/>
                </w:tcPr>
                <w:p>
                  <w:r>
                    <w:t xml:space="preserve">N[NNN]</w:t>
                  </w:r>
                </w:p>
              </w:tc>
            </w:tr>
            <w:tr>
              <w:trPr/>
              <w:tc>
                <w:tcPr>
                  <w:tcW w:w="2500" w:type="pct"/>
                  <w:vAlign w:val="top"/>
                </w:tcPr>
                <w:p>
                  <w:r>
                    <w:t xml:space="preserve">Doctors</w:t>
                  </w:r>
                </w:p>
              </w:tc>
              <w:tc>
                <w:tcPr>
                  <w:tcW w:w="1000" w:type="pct"/>
                  <w:vAlign w:val="top"/>
                </w:tcPr>
                <w:p>
                  <w:r>
                    <w:t xml:space="preserve">N[NNN]</w:t>
                  </w:r>
                </w:p>
              </w:tc>
              <w:tc>
                <w:tcPr>
                  <w:tcW w:w="750" w:type="pct"/>
                  <w:vAlign w:val="top"/>
                </w:tcPr>
                <w:p>
                  <w:r>
                    <w:t xml:space="preserve">N[NNN]</w:t>
                  </w:r>
                </w:p>
              </w:tc>
              <w:tc>
                <w:tcPr>
                  <w:tcW w:w="650" w:type="pct"/>
                  <w:vAlign w:val="top"/>
                </w:tcPr>
                <w:p>
                  <w:r>
                    <w:t xml:space="preserve">N[NNN]</w:t>
                  </w:r>
                </w:p>
              </w:tc>
            </w:tr>
            <w:tr>
              <w:trPr/>
              <w:tc>
                <w:tcPr>
                  <w:tcW w:w="2500" w:type="pct"/>
                  <w:vAlign w:val="top"/>
                </w:tcPr>
                <w:p>
                  <w:r>
                    <w:t xml:space="preserve">Nurses</w:t>
                  </w:r>
                </w:p>
              </w:tc>
              <w:tc>
                <w:tcPr>
                  <w:tcW w:w="1000" w:type="pct"/>
                  <w:vAlign w:val="top"/>
                </w:tcPr>
                <w:p>
                  <w:r>
                    <w:t xml:space="preserve">N[NNN]</w:t>
                  </w:r>
                </w:p>
              </w:tc>
              <w:tc>
                <w:tcPr>
                  <w:tcW w:w="750" w:type="pct"/>
                  <w:vAlign w:val="top"/>
                </w:tcPr>
                <w:p>
                  <w:r>
                    <w:t xml:space="preserve">N[NNN]</w:t>
                  </w:r>
                </w:p>
              </w:tc>
              <w:tc>
                <w:tcPr>
                  <w:tcW w:w="650" w:type="pct"/>
                  <w:vAlign w:val="top"/>
                </w:tcPr>
                <w:p>
                  <w:r>
                    <w:t xml:space="preserve">N[NNN]</w:t>
                  </w:r>
                </w:p>
              </w:tc>
            </w:tr>
            <w:tr>
              <w:trPr/>
              <w:tc>
                <w:tcPr>
                  <w:tcW w:w="2500" w:type="pct"/>
                  <w:vAlign w:val="top"/>
                </w:tcPr>
                <w:p>
                  <w:r>
                    <w:t xml:space="preserve">Substance misuse/drug and alcohol workers/AOD counsellors</w:t>
                  </w:r>
                </w:p>
              </w:tc>
              <w:tc>
                <w:tcPr>
                  <w:tcW w:w="1000" w:type="pct"/>
                  <w:vAlign w:val="top"/>
                </w:tcPr>
                <w:p>
                  <w:r>
                    <w:t xml:space="preserve">N[NNN]</w:t>
                  </w:r>
                </w:p>
              </w:tc>
              <w:tc>
                <w:tcPr>
                  <w:tcW w:w="750" w:type="pct"/>
                  <w:vAlign w:val="top"/>
                </w:tcPr>
                <w:p>
                  <w:r>
                    <w:t xml:space="preserve">N[NNN]</w:t>
                  </w:r>
                </w:p>
              </w:tc>
              <w:tc>
                <w:tcPr>
                  <w:tcW w:w="650" w:type="pct"/>
                  <w:vAlign w:val="top"/>
                </w:tcPr>
                <w:p>
                  <w:r>
                    <w:t xml:space="preserve">N[NNN]</w:t>
                  </w:r>
                </w:p>
              </w:tc>
            </w:tr>
            <w:tr>
              <w:trPr/>
              <w:tc>
                <w:tcPr>
                  <w:tcW w:w="2500" w:type="pct"/>
                  <w:vAlign w:val="top"/>
                </w:tcPr>
                <w:p>
                  <w:r>
                    <w:t xml:space="preserve">Social and emotional wellbeing staff (please specify)</w:t>
                  </w:r>
                </w:p>
              </w:tc>
              <w:tc>
                <w:tcPr>
                  <w:tcW w:w="1000" w:type="pct"/>
                  <w:vAlign w:val="top"/>
                </w:tcPr>
                <w:p>
                  <w:r>
                    <w:t xml:space="preserve">N[NNN]</w:t>
                  </w:r>
                </w:p>
              </w:tc>
              <w:tc>
                <w:tcPr>
                  <w:tcW w:w="750" w:type="pct"/>
                  <w:vAlign w:val="top"/>
                </w:tcPr>
                <w:p>
                  <w:r>
                    <w:t xml:space="preserve">N[NNN]</w:t>
                  </w:r>
                </w:p>
              </w:tc>
              <w:tc>
                <w:tcPr>
                  <w:tcW w:w="650" w:type="pct"/>
                  <w:vAlign w:val="top"/>
                </w:tcPr>
                <w:p>
                  <w:r>
                    <w:t xml:space="preserve">N[NNN]</w:t>
                  </w:r>
                </w:p>
              </w:tc>
            </w:tr>
            <w:tr>
              <w:trPr/>
              <w:tc>
                <w:tcPr>
                  <w:tcW w:w="2500" w:type="pct"/>
                  <w:vAlign w:val="top"/>
                </w:tcPr>
                <w:p>
                  <w:r>
                    <w:t xml:space="preserve">Visiting medical specialists/other allied health professionals (please specify)</w:t>
                  </w:r>
                </w:p>
              </w:tc>
              <w:tc>
                <w:tcPr>
                  <w:tcW w:w="1000" w:type="pct"/>
                  <w:vAlign w:val="top"/>
                </w:tcPr>
                <w:p>
                  <w:r>
                    <w:t xml:space="preserve">N[NNN]</w:t>
                  </w:r>
                </w:p>
              </w:tc>
              <w:tc>
                <w:tcPr>
                  <w:tcW w:w="750" w:type="pct"/>
                  <w:vAlign w:val="top"/>
                </w:tcPr>
                <w:p>
                  <w:r>
                    <w:t xml:space="preserve">N[NNN]</w:t>
                  </w:r>
                </w:p>
              </w:tc>
              <w:tc>
                <w:tcPr>
                  <w:tcW w:w="650" w:type="pct"/>
                  <w:vAlign w:val="top"/>
                </w:tcPr>
                <w:p>
                  <w:r>
                    <w:t xml:space="preserve">N[NNN]</w:t>
                  </w:r>
                </w:p>
              </w:tc>
            </w:tr>
            <w:tr>
              <w:trPr/>
              <w:tc>
                <w:tcPr>
                  <w:tcW w:w="2500" w:type="pct"/>
                  <w:vAlign w:val="top"/>
                </w:tcPr>
                <w:p>
                  <w:r>
                    <w:t xml:space="preserve">Traditional healers</w:t>
                  </w:r>
                </w:p>
              </w:tc>
              <w:tc>
                <w:tcPr>
                  <w:tcW w:w="1000" w:type="pct"/>
                  <w:vAlign w:val="top"/>
                </w:tcPr>
                <w:p>
                  <w:r>
                    <w:t xml:space="preserve">N[NNN]</w:t>
                  </w:r>
                </w:p>
              </w:tc>
              <w:tc>
                <w:tcPr>
                  <w:tcW w:w="750" w:type="pct"/>
                  <w:vAlign w:val="top"/>
                </w:tcPr>
                <w:p>
                  <w:r>
                    <w:t xml:space="preserve">N[NNN]</w:t>
                  </w:r>
                </w:p>
              </w:tc>
              <w:tc>
                <w:tcPr>
                  <w:tcW w:w="650" w:type="pct"/>
                  <w:vAlign w:val="top"/>
                </w:tcPr>
                <w:p>
                  <w:r>
                    <w:t xml:space="preserve">N[NNN]</w:t>
                  </w:r>
                </w:p>
              </w:tc>
            </w:tr>
            <w:tr>
              <w:trPr/>
              <w:tc>
                <w:tcPr>
                  <w:tcW w:w="2500" w:type="pct"/>
                  <w:vAlign w:val="top"/>
                </w:tcPr>
                <w:p>
                  <w:r>
                    <w:t xml:space="preserve">Other staff (please specify)</w:t>
                  </w:r>
                </w:p>
              </w:tc>
              <w:tc>
                <w:tcPr>
                  <w:tcW w:w="1000" w:type="pct"/>
                  <w:vAlign w:val="top"/>
                </w:tcPr>
                <w:p>
                  <w:r>
                    <w:t xml:space="preserve">N[NNN]</w:t>
                  </w:r>
                </w:p>
              </w:tc>
              <w:tc>
                <w:tcPr>
                  <w:tcW w:w="750" w:type="pct"/>
                  <w:vAlign w:val="top"/>
                </w:tcPr>
                <w:p>
                  <w:r>
                    <w:t xml:space="preserve">N[NNN]</w:t>
                  </w:r>
                </w:p>
              </w:tc>
              <w:tc>
                <w:tcPr>
                  <w:tcW w:w="650" w:type="pct"/>
                  <w:vAlign w:val="top"/>
                </w:tcPr>
                <w:p>
                  <w:r>
                    <w:t xml:space="preserve">N[NNN]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w:t>
            </w:r>
          </w:p>
          <w:p>
            <w:pPr>
              <w:pStyle w:val="ListParagraph"/>
              <w:numPr>
                <w:ilvl w:val="0"/>
                <w:numId w:val="2"/>
              </w:numPr>
            </w:pPr>
            <w:r>
              <w:rPr>
                <w:rStyle w:val="row-content-rich-text"/>
              </w:rPr>
              <w:t xml:space="preserve">Visiting health professionals (e.g. specialists, other allied health professionals)</w:t>
            </w:r>
          </w:p>
          <w:p>
            <w:pPr>
              <w:pStyle w:val="ListParagraph"/>
              <w:numPr>
                <w:ilvl w:val="0"/>
                <w:numId w:val="2"/>
              </w:numPr>
            </w:pPr>
            <w:r>
              <w:rPr>
                <w:rStyle w:val="row-content-rich-text"/>
              </w:rPr>
              <w:t xml:space="preserve">Community Development Employment Program (CDEP) workers.</w:t>
            </w:r>
          </w:p>
          <w:p>
            <w:pPr/>
            <w:r>
              <w:rPr>
                <w:rStyle w:val="row-content-rich-text"/>
              </w:rPr>
              <w:t xml:space="preserve">If the FTE positions are difficult to work out, please show details of how often each person works (e.g. a psychologist visits the service one morning session per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Aboriginal and Torres Strait Islander standalone substance use service provides counts of Aboriginal or Torres Strait Islander FTE positions, Non-Indigenous FTE positions and Total FTE positions by type of worker, as detailed in the Scope, Aboriginal and Torres Strait Islander standalone substance use service unpaid FTE positions table. The total FTE positions may include positions for which Indigenous status was not known or not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2197a104e05497b">
              <w:r>
                <w:rPr>
                  <w:rStyle w:val="Hyperlink"/>
                </w:rPr>
                <w:t xml:space="preserve">Aboriginal and Torres Strait Islander standalone substance use services unpaid  full-time equivalent  positions cluster</w:t>
              </w:r>
            </w:hyperlink>
          </w:p>
          <w:p>
            <w:pPr>
              <w:spacing w:before="0" w:after="0"/>
            </w:pPr>
            <w:r>
              <w:rPr>
                <w:rStyle w:val="row-content"/>
                <w:color w:val="244061"/>
              </w:rPr>
              <w:t xml:space="preserve">       </w:t>
            </w:r>
            <w:hyperlink w:history="true" r:id="R4c50d3003bb84527">
              <w:r>
                <w:rPr>
                  <w:rStyle w:val="Hyperlink"/>
                  <w:color w:val="244061"/>
                </w:rPr>
                <w:t xml:space="preserve">Indigenous</w:t>
              </w:r>
            </w:hyperlink>
            <w:r>
              <w:rPr>
                <w:rStyle w:val="row-content"/>
                <w:color w:val="244061"/>
              </w:rPr>
              <w:t xml:space="preserve">, Superseded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f63ab87d9354e2b">
              <w:r>
                <w:rPr>
                  <w:rStyle w:val="Hyperlink"/>
                </w:rPr>
                <w:t xml:space="preserve">Aboriginal and Torres Strait Islander standalone substance use services DSS </w:t>
              </w:r>
            </w:hyperlink>
          </w:p>
          <w:p>
            <w:pPr>
              <w:spacing w:before="0" w:after="0"/>
            </w:pPr>
            <w:r>
              <w:rPr>
                <w:rStyle w:val="row-content"/>
                <w:color w:val="244061"/>
              </w:rPr>
              <w:t xml:space="preserve">       </w:t>
            </w:r>
            <w:hyperlink w:history="true" r:id="R49a589f8c99b4404">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6db353267f4fc2">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unpaid staff in the Aboriginal and Torres Strait Islander standalone substance use service.</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de996a76d54546">
                    <w:r>
                      <w:rPr>
                        <w:rStyle w:val="Hyperlink"/>
                      </w:rPr>
                      <w:t xml:space="preserve">Service provider organisation—full-time equivalent staff (volunteer/unpaid), total N[NNN{.N}]</w:t>
                    </w:r>
                  </w:hyperlink>
                </w:p>
                <w:p>
                  <w:r>
                    <w:rPr>
                      <w:b/>
                      <w:i/>
                      <w:color w:val="333333"/>
                    </w:rPr>
                    <w:t xml:space="preserve">DSS specific information:</w:t>
                  </w:r>
                </w:p>
                <w:p>
                  <w:r>
                    <w:t xml:space="preserve">This data element refers to the unpaid staff in the Aboriginal and Torres Strait Islander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143c2fee334932">
                    <w:r>
                      <w:rPr>
                        <w:rStyle w:val="Hyperlink"/>
                      </w:rPr>
                      <w:t xml:space="preserve">Service provider organisation—staffing categories, standalone substance use services unpaid full time equivalent staffing categories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108280e48048f0">
                    <w:r>
                      <w:rPr>
                        <w:rStyle w:val="Hyperlink"/>
                      </w:rPr>
                      <w:t xml:space="preserve">Service provider organisation—staffing categories, text X[X(199)]</w:t>
                    </w:r>
                  </w:hyperlink>
                </w:p>
                <w:p>
                  <w:r>
                    <w:rPr>
                      <w:b/>
                      <w:i/>
                      <w:color w:val="333333"/>
                    </w:rPr>
                    <w:t xml:space="preserve">Conditional obligation:</w:t>
                  </w:r>
                </w:p>
                <w:p>
                  <w:r>
                    <w:t xml:space="preserve">This data element is used where the following staffing categories are selected: 'Social and emotional wellbeing staff', 'Visiting Medical Specialists/Other allied health professionals' and 'Other staff' for Service provider organisation—staffing categories, standalone substance use services unpaid full time equivalent staffing categories code N[N].</w:t>
                  </w:r>
                </w:p>
                <w:p>
                  <w:r>
                    <w:rPr>
                      <w:b/>
                      <w:i/>
                      <w:color w:val="333333"/>
                    </w:rPr>
                    <w:t xml:space="preserve">DSS specific information:</w:t>
                  </w:r>
                </w:p>
                <w:p>
                  <w:r>
                    <w:t xml:space="preserve">This data element provides further information about the type of social and emotional wellbeing staff; medical specialists and allied health professionals; and other staff of the standalone substance use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dfe73b727b624b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677147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5a69ceda0546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e73b727b624b06" /><Relationship Type="http://schemas.openxmlformats.org/officeDocument/2006/relationships/header" Target="/word/header1.xml" Id="R16735e621b80429b" /><Relationship Type="http://schemas.openxmlformats.org/officeDocument/2006/relationships/settings" Target="/word/settings.xml" Id="R8eb110bd645a4b42" /><Relationship Type="http://schemas.openxmlformats.org/officeDocument/2006/relationships/styles" Target="/word/styles.xml" Id="Rfd32109ff08941fe" /><Relationship Type="http://schemas.openxmlformats.org/officeDocument/2006/relationships/hyperlink" Target="https://meteor.aihw.gov.au/RegistrationAuthority/6" TargetMode="External" Id="Rf490009fa99b48bb" /><Relationship Type="http://schemas.openxmlformats.org/officeDocument/2006/relationships/numbering" Target="/word/numbering.xml" Id="Rd99c9432ee9a432a" /><Relationship Type="http://schemas.openxmlformats.org/officeDocument/2006/relationships/hyperlink" Target="https://meteor.aihw.gov.au/content/568406" TargetMode="External" Id="R82197a104e05497b" /><Relationship Type="http://schemas.openxmlformats.org/officeDocument/2006/relationships/hyperlink" Target="https://meteor.aihw.gov.au/RegistrationAuthority/6" TargetMode="External" Id="R4c50d3003bb84527" /><Relationship Type="http://schemas.openxmlformats.org/officeDocument/2006/relationships/hyperlink" Target="https://meteor.aihw.gov.au/content/664879" TargetMode="External" Id="R8f63ab87d9354e2b" /><Relationship Type="http://schemas.openxmlformats.org/officeDocument/2006/relationships/hyperlink" Target="https://meteor.aihw.gov.au/RegistrationAuthority/6" TargetMode="External" Id="R49a589f8c99b4404" /><Relationship Type="http://schemas.openxmlformats.org/officeDocument/2006/relationships/hyperlink" Target="https://meteor.aihw.gov.au/content/291036" TargetMode="External" Id="Ra96db353267f4fc2" /><Relationship Type="http://schemas.openxmlformats.org/officeDocument/2006/relationships/hyperlink" Target="https://meteor.aihw.gov.au/content/270214" TargetMode="External" Id="R36de996a76d54546" /><Relationship Type="http://schemas.openxmlformats.org/officeDocument/2006/relationships/hyperlink" Target="https://meteor.aihw.gov.au/content/568709" TargetMode="External" Id="R5f143c2fee334932" /><Relationship Type="http://schemas.openxmlformats.org/officeDocument/2006/relationships/hyperlink" Target="https://meteor.aihw.gov.au/content/567307" TargetMode="External" Id="R06108280e48048f0" /></Relationships>
</file>

<file path=word/_rels/header1.xml.rels>&#65279;<?xml version="1.0" encoding="utf-8"?><Relationships xmlns="http://schemas.openxmlformats.org/package/2006/relationships"><Relationship Type="http://schemas.openxmlformats.org/officeDocument/2006/relationships/image" Target="/media/image.png" Id="R2a5a69ceda054691" /></Relationships>
</file>