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5e29366a1b4228"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 ACC8, 11, 14 - Elective Surgery - Percentage of elective surgery patients seen within the clinically recommended time by urgency category, 2017</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 ACC8, 11, 14 - Elective Surgery - Percentage of elective surgery patients seen within the clinically recommended time by urgency category,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Elective surgery patients seen within the clinically recommended time by urgency category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219ad2c09449cc">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elective surgery patients who are admitted to the hospital (or contracting hospital) and received their waiting list procedure within national benchmark waiting times for each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d31bea57d9947db">
              <w:r>
                <w:rPr>
                  <w:rStyle w:val="Hyperlink"/>
                </w:rPr>
                <w:t xml:space="preserve">Service Agreement - Department of Health and Human Services Tasmania: 2017</w:t>
              </w:r>
            </w:hyperlink>
          </w:p>
          <w:p>
            <w:pPr>
              <w:spacing w:before="0" w:after="0"/>
            </w:pPr>
            <w:r>
              <w:rPr>
                <w:rStyle w:val="row-content"/>
                <w:color w:val="244061"/>
              </w:rPr>
              <w:t xml:space="preserve">       </w:t>
            </w:r>
            <w:hyperlink w:history="true" r:id="R9398e5460f504403">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7f1d3d481a54b8e">
              <w:r>
                <w:rPr>
                  <w:rStyle w:val="Hyperlink"/>
                </w:rPr>
                <w:t xml:space="preserve">Elective surgery access</w:t>
              </w:r>
            </w:hyperlink>
          </w:p>
          <w:p>
            <w:pPr>
              <w:spacing w:before="0" w:after="0"/>
            </w:pPr>
            <w:r>
              <w:rPr>
                <w:rStyle w:val="row-content"/>
                <w:color w:val="244061"/>
              </w:rPr>
              <w:t xml:space="preserve">       </w:t>
            </w:r>
            <w:hyperlink w:history="true" r:id="R73dfb02d641a40b9">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Improving Public Hospital Services. The definitions include admission from the elective surgery waiting list where the planned procedure was completed. This also includes patients admitted for the waiting list as an emergency.</w:t>
            </w:r>
          </w:p>
          <w:p>
            <w:pPr>
              <w:spacing w:after="160"/>
            </w:pPr>
            <w:r>
              <w:rPr>
                <w:rStyle w:val="row-content-rich-text"/>
              </w:rPr>
              <w:t xml:space="preserve">The number of waiting time days is calculated by subtracting the listing date for care from the removal date, minus any days the patient was 'not ready for care', and minus any days the patient was waiting with a less urgent clinical urgency category than their clinical urgency category at removal.</w:t>
            </w:r>
          </w:p>
          <w:p>
            <w:pPr>
              <w:spacing w:after="160"/>
            </w:pPr>
            <w:r>
              <w:rPr>
                <w:rStyle w:val="row-content-rich-text"/>
              </w:rPr>
              <w:t xml:space="preserve">Indicator procedures as defined in the Tasmanian wait list procedure code (TWLPC) set and specify which procedures are included in the calculation of this indicator in accordance with national definitions.</w:t>
            </w:r>
          </w:p>
          <w:p>
            <w:pPr/>
            <w:r>
              <w:rPr>
                <w:rStyle w:val="row-content-rich-text"/>
              </w:rPr>
              <w:t xml:space="preserve">The indicator is calculated separately for each of the three urgency categories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each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admissions from the elective surgery waiting list to the hospital (or contracting hospital) within benchmarks for each urgency category (this includes admissions from the waiting list as an emergency):</w:t>
            </w:r>
          </w:p>
          <w:p>
            <w:pPr>
              <w:spacing w:after="160"/>
            </w:pPr>
            <w:r>
              <w:rPr>
                <w:rStyle w:val="row-content-rich-text"/>
              </w:rPr>
              <w:t xml:space="preserve"> </w:t>
            </w:r>
          </w:p>
          <w:tbl>
            <w:tblPr>
              <w:tblStyle w:val="TableGrid"/>
              <w:tblW w:w="5000" w:type="pct"/>
              <w:tblLayout w:type="autofit"/>
            </w:tblPr>
            <w:tblGrid>
              <w:gridCol/>
              <w:gridCol/>
            </w:tblGrid>
            <w:tr>
              <w:trPr/>
              <w:tc>
                <w:tcPr>
                  <w:tcW w:w="1350" w:type="pct"/>
                  <w:vAlign w:val="top"/>
                </w:tcPr>
                <w:p>
                  <w:pPr/>
                  <w:r>
                    <w:rPr>
                      <w:rStyle w:val="row-content-rich-text"/>
                    </w:rPr>
                    <w:t xml:space="preserve"> </w:t>
                  </w:r>
                  <w:r>
                    <w:rPr>
                      <w:rStyle w:val="row-content-rich-text"/>
                    </w:rPr>
                    <w:t xml:space="preserve">Clinical urgency category</w:t>
                  </w:r>
                </w:p>
              </w:tc>
              <w:tc>
                <w:tcPr>
                  <w:tcW w:w="3600" w:type="pct"/>
                  <w:vAlign w:val="top"/>
                </w:tcPr>
                <w:p>
                  <w:pPr/>
                  <w:r>
                    <w:rPr>
                      <w:rStyle w:val="row-content-rich-text"/>
                    </w:rPr>
                    <w:t xml:space="preserve">National standards (desirable treatment times)</w:t>
                  </w:r>
                </w:p>
              </w:tc>
            </w:tr>
            <w:tr>
              <w:trPr/>
              <w:tc>
                <w:tcPr>
                  <w:tcW w:w="1350" w:type="pct"/>
                  <w:vAlign w:val="top"/>
                </w:tcPr>
                <w:p>
                  <w:pPr/>
                  <w:r>
                    <w:rPr>
                      <w:rStyle w:val="row-content-rich-text"/>
                    </w:rPr>
                    <w:t xml:space="preserve">Category 1 - Urgent</w:t>
                  </w:r>
                </w:p>
              </w:tc>
              <w:tc>
                <w:tcPr>
                  <w:tcW w:w="3600" w:type="pct"/>
                  <w:vAlign w:val="top"/>
                </w:tcPr>
                <w:p>
                  <w:r>
                    <w:t xml:space="preserve">Admission within 30 days (i.e. &lt;= 30 days)</w:t>
                  </w:r>
                </w:p>
              </w:tc>
            </w:tr>
            <w:tr>
              <w:trPr/>
              <w:tc>
                <w:tcPr>
                  <w:tcW w:w="1350" w:type="pct"/>
                  <w:vAlign w:val="top"/>
                </w:tcPr>
                <w:p>
                  <w:r>
                    <w:t xml:space="preserve">Category 2 - Semi-urgent</w:t>
                  </w:r>
                </w:p>
              </w:tc>
              <w:tc>
                <w:tcPr>
                  <w:tcW w:w="3600" w:type="pct"/>
                  <w:vAlign w:val="top"/>
                </w:tcPr>
                <w:p>
                  <w:r>
                    <w:t xml:space="preserve">Admission within 90 days (i.e. &lt;= 90 days)</w:t>
                  </w:r>
                </w:p>
              </w:tc>
            </w:tr>
            <w:tr>
              <w:trPr/>
              <w:tc>
                <w:tcPr>
                  <w:tcW w:w="1350" w:type="pct"/>
                  <w:vAlign w:val="top"/>
                </w:tcPr>
                <w:p>
                  <w:r>
                    <w:t xml:space="preserve">Category 3 - Non-urgent</w:t>
                  </w:r>
                </w:p>
              </w:tc>
              <w:tc>
                <w:tcPr>
                  <w:tcW w:w="3600" w:type="pct"/>
                  <w:vAlign w:val="top"/>
                </w:tcPr>
                <w:p>
                  <w:r>
                    <w:t xml:space="preserve">Admission sometime in the future</w:t>
                  </w:r>
                </w:p>
                <w:p>
                  <w:r>
                    <w:t xml:space="preserve">There is no national standard but 365 days is used as a guide  (i.e. &lt;= 365 days)</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c9b5d5146c54e68">
              <w:r>
                <w:rPr>
                  <w:rStyle w:val="Hyperlink"/>
                </w:rPr>
                <w:t xml:space="preserve">Elective surgery waiting list episode—waiting list removal date, DDMMYYYY</w:t>
              </w:r>
            </w:hyperlink>
          </w:p>
          <w:p>
            <w:r>
              <w:rPr>
                <w:rStyle w:val="row-content"/>
                <w:b/>
              </w:rPr>
              <w:t xml:space="preserve">Guide for use</w:t>
            </w:r>
          </w:p>
          <w:p>
            <w:r>
              <w:rPr>
                <w:rStyle w:val="row-content"/>
              </w:rPr>
              <w:t xml:space="preserve"> </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86a56235c2e04c8b">
              <w:r>
                <w:rPr>
                  <w:rStyle w:val="Hyperlink"/>
                </w:rPr>
                <w:t xml:space="preserve">Person—person identifier, identifier (Tasmanian) N(9)</w:t>
              </w:r>
            </w:hyperlink>
          </w:p>
          <w:p>
            <w:r>
              <w:rPr>
                <w:rStyle w:val="row-content"/>
                <w:b/>
                <w:color w:val="000000"/>
              </w:rPr>
              <w:t xml:space="preserve">Data Element / Data Set</w:t>
            </w:r>
          </w:p>
          <w:p>
            <w:hyperlink w:history="true" r:id="R69828a354eba4c77">
              <w:r>
                <w:rPr>
                  <w:rStyle w:val="Hyperlink"/>
                </w:rPr>
                <w:t xml:space="preserve">Establishment—organisation identifier, (Tasmanian) identifier NNNN</w:t>
              </w:r>
            </w:hyperlink>
          </w:p>
          <w:p>
            <w:r>
              <w:rPr>
                <w:rStyle w:val="row-content"/>
                <w:b/>
                <w:color w:val="000000"/>
              </w:rPr>
              <w:t xml:space="preserve">Data Element / Data Set</w:t>
            </w:r>
          </w:p>
          <w:p>
            <w:hyperlink w:history="true" r:id="R6d5ba8be4e394ee0">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 </w:t>
            </w:r>
          </w:p>
          <w:p>
            <w:r>
              <w:rPr>
                <w:rStyle w:val="row-content"/>
              </w:rPr>
              <w:t xml:space="preserve">Data is obtained from the [RemovalReasonRefId] field in Health Central where the reason for removal was </w:t>
            </w:r>
            <w:r>
              <w:rPr>
                <w:rStyle w:val="row-content"/>
                <w:i/>
              </w:rPr>
              <w:t xml:space="preserve">Planned procedure completed or </w:t>
            </w:r>
            <w:r>
              <w:rPr>
                <w:rStyle w:val="row-content"/>
                <w:i/>
              </w:rPr>
              <w:t xml:space="preserve">Admitted as emergency</w:t>
            </w:r>
            <w:r>
              <w:rPr>
                <w:rStyle w:val="row-content"/>
              </w:rPr>
              <w:t xml:space="preserve">.</w:t>
            </w:r>
          </w:p>
          <w:p>
            <w:r>
              <w:rPr>
                <w:rStyle w:val="row-content"/>
              </w:rPr>
              <w:t xml:space="preserve"> </w:t>
            </w:r>
          </w:p>
          <w:p>
            <w:r>
              <w:rPr>
                <w:rStyle w:val="row-content"/>
                <w:b/>
                <w:color w:val="000000"/>
              </w:rPr>
              <w:t xml:space="preserve">Data Element / Data Set</w:t>
            </w:r>
          </w:p>
          <w:p>
            <w:hyperlink w:history="true" r:id="R3c57e47cf4b74917">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rPr>
                <w:b/>
                <w:color w:val="000000"/>
              </w:rPr>
              <w:t xml:space="preserve">Data Element / Data Set</w:t>
            </w:r>
          </w:p>
          <w:p>
            <w:hyperlink w:history="true" r:id="R613a8b4646a24739">
              <w:r>
                <w:rPr>
                  <w:rStyle w:val="Hyperlink"/>
                </w:rPr>
                <w:t xml:space="preserve">Elective care waiting list episode—clinical urgency, code X[AXAA]</w:t>
              </w:r>
            </w:hyperlink>
          </w:p>
          <w:p>
            <w:r>
              <w:rPr>
                <w:b/>
              </w:rPr>
              <w:t xml:space="preserve">Guide for use</w:t>
            </w:r>
          </w:p>
          <w:p>
            <w:r>
              <w:t xml:space="preserve"> </w:t>
            </w:r>
          </w:p>
          <w:p>
            <w:r>
              <w:t xml:space="preserve">Data is obtained from the [CurrentPriorityRefId] field in Health Central and patients who have the following clinical urgency status recorded will be included: </w:t>
            </w:r>
          </w:p>
          <w:p>
            <w:r>
              <w:t xml:space="preserve"> </w:t>
            </w:r>
          </w:p>
          <w:tbl>
            <w:tblPr>
              <w:tblStyle w:val="TableGrid"/>
              <w:tblW w:w="5000" w:type="pct"/>
              <w:tblLayout w:type="autofit"/>
            </w:tblPr>
            <w:tblGrid>
              <w:gridCol/>
              <w:gridCol/>
            </w:tblGrid>
            <w:tr>
              <w:trPr/>
              <w:tc>
                <w:tcPr>
                  <w:tcW w:w="1000" w:type="pct"/>
                  <w:vAlign w:val="top"/>
                </w:tcPr>
                <w:p>
                  <w:r>
                    <w:t xml:space="preserve"> </w:t>
                  </w:r>
                  <w:r>
                    <w:t xml:space="preserve">Value</w:t>
                  </w:r>
                </w:p>
              </w:tc>
              <w:tc>
                <w:tcPr>
                  <w:tcW w:w="4000" w:type="pct"/>
                  <w:vAlign w:val="top"/>
                </w:tcPr>
                <w:p>
                  <w:r>
                    <w:t xml:space="preserve">Meaning</w:t>
                  </w:r>
                </w:p>
              </w:tc>
            </w:tr>
            <w:tr>
              <w:trPr/>
              <w:tc>
                <w:tcPr>
                  <w:tcW w:w="1000" w:type="pct"/>
                  <w:vAlign w:val="top"/>
                </w:tcPr>
                <w:p>
                  <w:r>
                    <w:t xml:space="preserve">1</w:t>
                  </w:r>
                </w:p>
              </w:tc>
              <w:tc>
                <w:tcPr>
                  <w:tcW w:w="4000" w:type="pct"/>
                  <w:vAlign w:val="top"/>
                </w:tcPr>
                <w:p>
                  <w:r>
                    <w:t xml:space="preserve">1 - Urgent</w:t>
                  </w:r>
                </w:p>
              </w:tc>
            </w:tr>
            <w:tr>
              <w:trPr/>
              <w:tc>
                <w:tcPr>
                  <w:tcW w:w="1000" w:type="pct"/>
                  <w:vAlign w:val="top"/>
                </w:tcPr>
                <w:p>
                  <w:r>
                    <w:t xml:space="preserve">2</w:t>
                  </w:r>
                </w:p>
              </w:tc>
              <w:tc>
                <w:tcPr>
                  <w:tcW w:w="4000" w:type="pct"/>
                  <w:vAlign w:val="top"/>
                </w:tcPr>
                <w:p>
                  <w:r>
                    <w:t xml:space="preserve">2 - Semi-urgent</w:t>
                  </w:r>
                </w:p>
              </w:tc>
            </w:tr>
            <w:tr>
              <w:trPr/>
              <w:tc>
                <w:tcPr>
                  <w:tcW w:w="1000" w:type="pct"/>
                  <w:vAlign w:val="top"/>
                </w:tcPr>
                <w:p>
                  <w:r>
                    <w:t xml:space="preserve">3</w:t>
                  </w:r>
                </w:p>
              </w:tc>
              <w:tc>
                <w:tcPr>
                  <w:tcW w:w="4000" w:type="pct"/>
                  <w:vAlign w:val="top"/>
                </w:tcPr>
                <w:p>
                  <w:r>
                    <w:t xml:space="preserve">3 - Non-urgent</w:t>
                  </w:r>
                </w:p>
              </w:tc>
            </w:tr>
          </w:tbl>
          <w:p>
            <w:r>
              <w:t xml:space="preserve"> </w:t>
            </w:r>
          </w:p>
          <w:p>
            <w:r>
              <w:rPr>
                <w:b/>
                <w:color w:val="000000"/>
              </w:rPr>
              <w:t xml:space="preserve">Data Element / Data Set</w:t>
            </w:r>
          </w:p>
          <w:p>
            <w:hyperlink w:history="true" r:id="Rc9786d6ffdfc45d6">
              <w:r>
                <w:rPr>
                  <w:rStyle w:val="Hyperlink"/>
                </w:rPr>
                <w:t xml:space="preserve">Elective surgery waiting list episode—outcome of offer, (Tasmanian) code X[XXXX]</w:t>
              </w:r>
            </w:hyperlink>
          </w:p>
          <w:p>
            <w:r>
              <w:rPr>
                <w:b/>
              </w:rPr>
              <w:t xml:space="preserve">Guide for use</w:t>
            </w:r>
          </w:p>
          <w:p>
            <w:r>
              <w:t xml:space="preserve"> </w:t>
            </w:r>
          </w:p>
          <w:p>
            <w:r>
              <w:t xml:space="preserve">Data is obtained from the [OfferOutcomeRefId] field in Health Central and only includes records with the 'Offer to come in' code of </w:t>
            </w:r>
            <w:r>
              <w:rPr>
                <w:i/>
              </w:rPr>
              <w:t xml:space="preserve">Patient admitted - treatment complete</w:t>
            </w:r>
            <w:r>
              <w:t xml:space="preserve">.</w:t>
            </w:r>
          </w:p>
          <w:p>
            <w:r>
              <w:t xml:space="preserve"> </w:t>
            </w:r>
          </w:p>
          <w:p>
            <w:r>
              <w:rPr>
                <w:b/>
                <w:color w:val="000000"/>
              </w:rPr>
              <w:t xml:space="preserve">Data Element / Data Set</w:t>
            </w:r>
          </w:p>
          <w:p>
            <w:hyperlink w:history="true" r:id="R35cee69119034bdd">
              <w:r>
                <w:rPr>
                  <w:rStyle w:val="Hyperlink"/>
                </w:rPr>
                <w:t xml:space="preserve">Elective surgery waiting list episode—waiting time (at removal), total days N[NNN]</w:t>
              </w:r>
            </w:hyperlink>
          </w:p>
          <w:p>
            <w:r>
              <w:rPr>
                <w:b/>
              </w:rPr>
              <w:t xml:space="preserve">Guide for use</w:t>
            </w:r>
          </w:p>
          <w:p>
            <w:r>
              <w:t xml:space="preserve"> </w:t>
            </w:r>
          </w:p>
          <w:p>
            <w:r>
              <w:t xml:space="preserve">Data is obtained from the [TotalWaitingDays] field in Health Central.</w:t>
            </w:r>
          </w:p>
          <w:p>
            <w:r>
              <w:t xml:space="preserve">The number of days is calculated by subtracting the listing date for care from the removal date, minus any days when the patient was 'not ready for care', and also minus any days the patient was waiting with a less urgent clinical urgency category than their clinical urgency category at removal.</w:t>
            </w:r>
          </w:p>
          <w:p>
            <w:r>
              <w:t xml:space="preserve">Days when the patient was not ready for care is calculated by subtracting the date(s) the person was recorded as 'not ready for care' from the date(s) the person was subsequently recorded as again being 'ready for care'.</w:t>
            </w:r>
          </w:p>
          <w:p>
            <w:r>
              <w:t xml:space="preserve">If, at any time since being added to the waiting list for the elective surgical procedure, the patient has had a less urgent clinical urgency category than the category at removal, then the number of days waited at the less urgent clinical urgency category should be subtracted from the total number of days waited.</w:t>
            </w:r>
          </w:p>
          <w:p>
            <w:r>
              <w:t xml:space="preserve">In cases where there has been only one category reassignment (i.e. to the more urgent category attached to the patient at removal)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r>
              <w:t xml:space="preserve">Therefore at the removal date, the patient's waiting time includes the number of days waited on an elective surgery waiting list, both before and after any cancelled surgery admission. The time waited before the cancelled surgery should be counted as part of the total time waited by the patient.</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admissions from the elective surgery waiting list to the hospital (or contracting hospital) for each urgency category (this includes admissions from the waiting list as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3c7d12edfd94088">
              <w:r>
                <w:rPr>
                  <w:rStyle w:val="Hyperlink"/>
                </w:rPr>
                <w:t xml:space="preserve">Elective surgery waiting list episode—waiting list removal date, DDMMYYYY</w:t>
              </w:r>
            </w:hyperlink>
          </w:p>
          <w:p>
            <w:r>
              <w:rPr>
                <w:rStyle w:val="row-content"/>
                <w:b/>
              </w:rPr>
              <w:t xml:space="preserve">Guide for use</w:t>
            </w:r>
          </w:p>
          <w:p>
            <w:r>
              <w:rPr>
                <w:rStyle w:val="row-content"/>
              </w:rPr>
              <w:t xml:space="preserve"> </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48f0a85748844b07">
              <w:r>
                <w:rPr>
                  <w:rStyle w:val="Hyperlink"/>
                </w:rPr>
                <w:t xml:space="preserve">Person—person identifier, identifier (Tasmanian) N(9)</w:t>
              </w:r>
            </w:hyperlink>
          </w:p>
          <w:p>
            <w:r>
              <w:rPr>
                <w:rStyle w:val="row-content"/>
                <w:b/>
                <w:color w:val="000000"/>
              </w:rPr>
              <w:t xml:space="preserve">Data Element / Data Set</w:t>
            </w:r>
          </w:p>
          <w:p>
            <w:hyperlink w:history="true" r:id="R46cca95666ca4fcf">
              <w:r>
                <w:rPr>
                  <w:rStyle w:val="Hyperlink"/>
                </w:rPr>
                <w:t xml:space="preserve">Establishment—organisation identifier, (Tasmanian) identifier NNNN</w:t>
              </w:r>
            </w:hyperlink>
          </w:p>
          <w:p>
            <w:r>
              <w:rPr>
                <w:rStyle w:val="row-content"/>
                <w:b/>
                <w:color w:val="000000"/>
              </w:rPr>
              <w:t xml:space="preserve">Data Element / Data Set</w:t>
            </w:r>
          </w:p>
          <w:p>
            <w:hyperlink w:history="true" r:id="R5cb5d40be98a4bf2">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 </w:t>
            </w:r>
          </w:p>
          <w:p>
            <w:r>
              <w:rPr>
                <w:rStyle w:val="row-content"/>
              </w:rPr>
              <w:t xml:space="preserve">Data is obtained from the [RemovalReasonRefId] field in Health Central where the reason for removal was </w:t>
            </w:r>
            <w:r>
              <w:rPr>
                <w:rStyle w:val="row-content"/>
                <w:i/>
              </w:rPr>
              <w:t xml:space="preserve">Planned procedure completed</w:t>
            </w:r>
            <w:r>
              <w:rPr>
                <w:rStyle w:val="row-content"/>
              </w:rPr>
              <w:t xml:space="preserve"> or </w:t>
            </w:r>
            <w:r>
              <w:rPr>
                <w:rStyle w:val="row-content"/>
                <w:i/>
              </w:rPr>
              <w:t xml:space="preserve">Admitted as emergency</w:t>
            </w:r>
            <w:r>
              <w:rPr>
                <w:rStyle w:val="row-content"/>
              </w:rPr>
              <w:t xml:space="preserve">.</w:t>
            </w:r>
            <w:r>
              <w:br/>
            </w:r>
          </w:p>
          <w:p>
            <w:r>
              <w:rPr>
                <w:rStyle w:val="row-content"/>
              </w:rPr>
              <w:t xml:space="preserve"> </w:t>
            </w:r>
          </w:p>
          <w:p>
            <w:r>
              <w:rPr>
                <w:rStyle w:val="row-content"/>
                <w:b/>
                <w:color w:val="000000"/>
              </w:rPr>
              <w:t xml:space="preserve">Data Element / Data Set</w:t>
            </w:r>
          </w:p>
          <w:p>
            <w:hyperlink w:history="true" r:id="Refccbb1d45ca4393">
              <w:r>
                <w:rPr>
                  <w:rStyle w:val="Hyperlink"/>
                </w:rPr>
                <w:t xml:space="preserve">Elective care waiting list episode—clinical urgency, code X[AXAA]</w:t>
              </w:r>
            </w:hyperlink>
          </w:p>
          <w:p>
            <w:r>
              <w:rPr>
                <w:rStyle w:val="row-content"/>
                <w:b/>
              </w:rPr>
              <w:t xml:space="preserve">Guide for use</w:t>
            </w:r>
          </w:p>
          <w:p>
            <w:r>
              <w:rPr>
                <w:rStyle w:val="row-content"/>
              </w:rPr>
              <w:t xml:space="preserve"> </w:t>
            </w:r>
          </w:p>
          <w:p>
            <w:r>
              <w:rPr>
                <w:rStyle w:val="row-content"/>
              </w:rPr>
              <w:t xml:space="preserve">Data is obtained from the [CurrentPriorityRefId] field in Health Central and patients who have the following clinical urgency status recorded will be included:</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1</w:t>
                  </w:r>
                </w:p>
              </w:tc>
              <w:tc>
                <w:tcPr>
                  <w:tcW w:w="4000" w:type="pct"/>
                  <w:vAlign w:val="top"/>
                </w:tcPr>
                <w:p>
                  <w:r>
                    <w:t xml:space="preserve">1 - Urgent</w:t>
                  </w:r>
                </w:p>
              </w:tc>
            </w:tr>
            <w:tr>
              <w:trPr/>
              <w:tc>
                <w:tcPr>
                  <w:tcW w:w="1000" w:type="pct"/>
                  <w:vAlign w:val="top"/>
                </w:tcPr>
                <w:p>
                  <w:r>
                    <w:t xml:space="preserve">2</w:t>
                  </w:r>
                </w:p>
              </w:tc>
              <w:tc>
                <w:tcPr>
                  <w:tcW w:w="4000" w:type="pct"/>
                  <w:vAlign w:val="top"/>
                </w:tcPr>
                <w:p>
                  <w:r>
                    <w:t xml:space="preserve">2 - Semi-urgent</w:t>
                  </w:r>
                </w:p>
              </w:tc>
            </w:tr>
            <w:tr>
              <w:trPr/>
              <w:tc>
                <w:tcPr>
                  <w:tcW w:w="1000" w:type="pct"/>
                  <w:vAlign w:val="top"/>
                </w:tcPr>
                <w:p>
                  <w:r>
                    <w:t xml:space="preserve">3</w:t>
                  </w:r>
                </w:p>
              </w:tc>
              <w:tc>
                <w:tcPr>
                  <w:tcW w:w="4000" w:type="pct"/>
                  <w:vAlign w:val="top"/>
                </w:tcPr>
                <w:p>
                  <w:r>
                    <w:t xml:space="preserve">3 - Non-urgent</w:t>
                  </w:r>
                </w:p>
              </w:tc>
            </w:tr>
          </w:tbl>
          <w:p>
            <w:r>
              <w:t xml:space="preserve"> </w:t>
            </w:r>
          </w:p>
          <w:p>
            <w:r>
              <w:rPr>
                <w:b/>
                <w:color w:val="000000"/>
              </w:rPr>
              <w:t xml:space="preserve">Data Element / Data Set</w:t>
            </w:r>
          </w:p>
          <w:p>
            <w:hyperlink w:history="true" r:id="R121c453bc4fe4e15">
              <w:r>
                <w:rPr>
                  <w:rStyle w:val="Hyperlink"/>
                </w:rPr>
                <w:t xml:space="preserve">Elective surgery waiting list episode—outcome of offer, (Tasmanian) code X[XXXX]</w:t>
              </w:r>
            </w:hyperlink>
          </w:p>
          <w:p>
            <w:r>
              <w:rPr>
                <w:b/>
              </w:rPr>
              <w:t xml:space="preserve">Guide for use</w:t>
            </w:r>
          </w:p>
          <w:p>
            <w:r>
              <w:t xml:space="preserve"> </w:t>
            </w:r>
          </w:p>
          <w:p>
            <w:r>
              <w:t xml:space="preserve">Data is obtained from the [OfferOutcomeRefId] field in Health Central and only includes records with the 'Offer to come in' code of </w:t>
            </w:r>
            <w:r>
              <w:rPr>
                <w:i/>
              </w:rPr>
              <w:t xml:space="preserve">Patient admitted - treatment complete</w:t>
            </w:r>
            <w:r>
              <w:t xml:space="preserve">.</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clinical urgency.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3be17843ac74b15">
              <w:r>
                <w:rPr>
                  <w:rStyle w:val="Hyperlink"/>
                </w:rPr>
                <w:t xml:space="preserve">Establishment—organisation identifier, (Tasmanian) identifier NNNN</w:t>
              </w:r>
            </w:hyperlink>
          </w:p>
          <w:p>
            <w:r>
              <w:rPr>
                <w:rStyle w:val="row-content"/>
                <w:b/>
                <w:color w:val="000000"/>
              </w:rPr>
              <w:t xml:space="preserve">Data Element / Data Set</w:t>
            </w:r>
          </w:p>
          <w:p>
            <w:hyperlink w:history="true" r:id="Rabaf0af2adbd4f0b">
              <w:r>
                <w:rPr>
                  <w:rStyle w:val="Hyperlink"/>
                </w:rPr>
                <w:t xml:space="preserve">Elective care waiting list episode—clinical urgency, code X[AXAA]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2017-18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6765b9c646478d">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spacing w:before="0" w:after="0"/>
            </w:pPr>
            <w:r>
              <w:rPr>
                <w:rStyle w:val="row-content"/>
                <w:color w:val="244061"/>
              </w:rPr>
              <w:t xml:space="preserve">       </w:t>
            </w:r>
            <w:hyperlink w:history="true" r:id="Rb33df1033b20439f">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b1df216127c34ce3">
              <w:r>
                <w:rPr>
                  <w:rStyle w:val="Hyperlink"/>
                </w:rPr>
                <w:t xml:space="preserve">Service Agreement - Department of Health Tasmania: 2018, Elective Surgery - Percentage of all elective surgery patients seen within the clinically recommended time, 2018</w:t>
              </w:r>
            </w:hyperlink>
          </w:p>
          <w:p>
            <w:pPr>
              <w:spacing w:before="0" w:after="0"/>
            </w:pPr>
            <w:r>
              <w:rPr>
                <w:rStyle w:val="row-content"/>
                <w:color w:val="244061"/>
              </w:rPr>
              <w:t xml:space="preserve">       </w:t>
            </w:r>
            <w:hyperlink w:history="true" r:id="Ra57a44626d194b9f">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427a8f1b815147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675867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62a50436b849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7a8f1b815147b0" /><Relationship Type="http://schemas.openxmlformats.org/officeDocument/2006/relationships/header" Target="/word/header1.xml" Id="Ree9443ea4a5c4ff2" /><Relationship Type="http://schemas.openxmlformats.org/officeDocument/2006/relationships/settings" Target="/word/settings.xml" Id="R3a31f5d90a0c4111" /><Relationship Type="http://schemas.openxmlformats.org/officeDocument/2006/relationships/styles" Target="/word/styles.xml" Id="R1fb0a54d924d4cb5" /><Relationship Type="http://schemas.openxmlformats.org/officeDocument/2006/relationships/hyperlink" Target="https://meteor.aihw.gov.au/RegistrationAuthority/15" TargetMode="External" Id="R1d219ad2c09449cc" /><Relationship Type="http://schemas.openxmlformats.org/officeDocument/2006/relationships/hyperlink" Target="https://meteor.aihw.gov.au/content/675810" TargetMode="External" Id="Rcd31bea57d9947db" /><Relationship Type="http://schemas.openxmlformats.org/officeDocument/2006/relationships/hyperlink" Target="https://meteor.aihw.gov.au/RegistrationAuthority/15" TargetMode="External" Id="R9398e5460f504403" /><Relationship Type="http://schemas.openxmlformats.org/officeDocument/2006/relationships/hyperlink" Target="https://meteor.aihw.gov.au/content/511658" TargetMode="External" Id="Ra7f1d3d481a54b8e" /><Relationship Type="http://schemas.openxmlformats.org/officeDocument/2006/relationships/hyperlink" Target="https://meteor.aihw.gov.au/RegistrationAuthority/15" TargetMode="External" Id="R73dfb02d641a40b9" /><Relationship Type="http://schemas.openxmlformats.org/officeDocument/2006/relationships/hyperlink" Target="https://meteor.aihw.gov.au/content/270082" TargetMode="External" Id="Rbc9b5d5146c54e68" /><Relationship Type="http://schemas.openxmlformats.org/officeDocument/2006/relationships/hyperlink" Target="https://meteor.aihw.gov.au/content/416555" TargetMode="External" Id="R86a56235c2e04c8b" /><Relationship Type="http://schemas.openxmlformats.org/officeDocument/2006/relationships/hyperlink" Target="https://meteor.aihw.gov.au/content/416596" TargetMode="External" Id="R69828a354eba4c77" /><Relationship Type="http://schemas.openxmlformats.org/officeDocument/2006/relationships/hyperlink" Target="https://meteor.aihw.gov.au/content/449466" TargetMode="External" Id="R6d5ba8be4e394ee0" /><Relationship Type="http://schemas.openxmlformats.org/officeDocument/2006/relationships/hyperlink" Target="https://meteor.aihw.gov.au/content/450936" TargetMode="External" Id="R3c57e47cf4b74917" /><Relationship Type="http://schemas.openxmlformats.org/officeDocument/2006/relationships/hyperlink" Target="https://meteor.aihw.gov.au/content/453179" TargetMode="External" Id="R613a8b4646a24739" /><Relationship Type="http://schemas.openxmlformats.org/officeDocument/2006/relationships/hyperlink" Target="https://meteor.aihw.gov.au/content/455189" TargetMode="External" Id="Rc9786d6ffdfc45d6" /><Relationship Type="http://schemas.openxmlformats.org/officeDocument/2006/relationships/hyperlink" Target="https://meteor.aihw.gov.au/content/598074" TargetMode="External" Id="R35cee69119034bdd" /><Relationship Type="http://schemas.openxmlformats.org/officeDocument/2006/relationships/hyperlink" Target="https://meteor.aihw.gov.au/content/270082" TargetMode="External" Id="Rd3c7d12edfd94088" /><Relationship Type="http://schemas.openxmlformats.org/officeDocument/2006/relationships/hyperlink" Target="https://meteor.aihw.gov.au/content/416555" TargetMode="External" Id="R48f0a85748844b07" /><Relationship Type="http://schemas.openxmlformats.org/officeDocument/2006/relationships/hyperlink" Target="https://meteor.aihw.gov.au/content/416596" TargetMode="External" Id="R46cca95666ca4fcf" /><Relationship Type="http://schemas.openxmlformats.org/officeDocument/2006/relationships/hyperlink" Target="https://meteor.aihw.gov.au/content/449466" TargetMode="External" Id="R5cb5d40be98a4bf2" /><Relationship Type="http://schemas.openxmlformats.org/officeDocument/2006/relationships/hyperlink" Target="https://meteor.aihw.gov.au/content/453179" TargetMode="External" Id="Refccbb1d45ca4393" /><Relationship Type="http://schemas.openxmlformats.org/officeDocument/2006/relationships/hyperlink" Target="https://meteor.aihw.gov.au/content/455189" TargetMode="External" Id="R121c453bc4fe4e15" /><Relationship Type="http://schemas.openxmlformats.org/officeDocument/2006/relationships/hyperlink" Target="https://meteor.aihw.gov.au/content/416596" TargetMode="External" Id="R23be17843ac74b15" /><Relationship Type="http://schemas.openxmlformats.org/officeDocument/2006/relationships/hyperlink" Target="https://meteor.aihw.gov.au/content/453179" TargetMode="External" Id="Rabaf0af2adbd4f0b" /><Relationship Type="http://schemas.openxmlformats.org/officeDocument/2006/relationships/numbering" Target="/word/numbering.xml" Id="R78ed4c3e9a404df7" /><Relationship Type="http://schemas.openxmlformats.org/officeDocument/2006/relationships/hyperlink" Target="https://meteor.aihw.gov.au/content/645320" TargetMode="External" Id="R476765b9c646478d" /><Relationship Type="http://schemas.openxmlformats.org/officeDocument/2006/relationships/hyperlink" Target="https://meteor.aihw.gov.au/RegistrationAuthority/15" TargetMode="External" Id="Rb33df1033b20439f" /><Relationship Type="http://schemas.openxmlformats.org/officeDocument/2006/relationships/hyperlink" Target="https://meteor.aihw.gov.au/content/698814" TargetMode="External" Id="Rb1df216127c34ce3" /><Relationship Type="http://schemas.openxmlformats.org/officeDocument/2006/relationships/hyperlink" Target="https://meteor.aihw.gov.au/RegistrationAuthority/15" TargetMode="External" Id="Ra57a44626d194b9f" /></Relationships>
</file>

<file path=word/_rels/header1.xml.rels>&#65279;<?xml version="1.0" encoding="utf-8"?><Relationships xmlns="http://schemas.openxmlformats.org/package/2006/relationships"><Relationship Type="http://schemas.openxmlformats.org/officeDocument/2006/relationships/image" Target="/media/image.png" Id="R0062a50436b849c0" /></Relationships>
</file>