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2741149e6c54ec5" /></Relationships>
</file>

<file path=word/document.xml><?xml version="1.0" encoding="utf-8"?>
<w:document xmlns:r="http://schemas.openxmlformats.org/officeDocument/2006/relationships" xmlns:w="http://schemas.openxmlformats.org/wordprocessingml/2006/main">
  <w:body>
    <w:p>
      <w:pPr>
        <w:pStyle w:val="Title"/>
      </w:pPr>
      <w:r>
        <w:t>Pregnancy—estimated duration (at the first visit for antenatal care), completed weeks N[N]</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Pregnancy—estimated duration (at the first visit for antenatal care), completed weeks 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Pregnancy duration at the first antenatal care visit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Synonymous names:</w:t>
            </w:r>
          </w:p>
        </w:tc>
        <w:tc>
          <w:tcPr>
            <w:tcBorders>
              <w:top w:val="none" w:color="000000" w:sz="0"/>
              <w:left w:val="none" w:color="000000" w:sz="0"/>
              <w:bottom w:val="none" w:color="000000" w:sz="0"/>
              <w:right w:val="none" w:color="000000" w:sz="0"/>
            </w:tcBorders>
            <w:vAlign w:val="top"/>
          </w:tcPr>
          <w:p>
            <w:r>
              <w:t xml:space="preserve">Estimated pregnancy gestation in completed weeks at the first visit for antenatal care.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673258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aa1f449754346c2">
              <w:r>
                <w:rPr>
                  <w:rStyle w:val="Hyperlink"/>
                  <w:color w:val="244061"/>
                </w:rPr>
                <w:t xml:space="preserve">Health</w:t>
              </w:r>
            </w:hyperlink>
            <w:r>
              <w:rPr>
                <w:rStyle w:val="row-content"/>
                <w:color w:val="244061"/>
              </w:rPr>
              <w:t xml:space="preserve">, Superseded 12/12/2018</w:t>
            </w:r>
          </w:p>
          <w:p>
            <w:pPr>
              <w:spacing w:before="0" w:after="0"/>
            </w:pPr>
            <w:hyperlink w:history="true" r:id="R8240413a777b4c3f">
              <w:r>
                <w:rPr>
                  <w:rStyle w:val="Hyperlink"/>
                  <w:color w:val="244061"/>
                </w:rPr>
                <w:t xml:space="preserve">Indigenous</w:t>
              </w:r>
            </w:hyperlink>
            <w:r>
              <w:rPr>
                <w:rStyle w:val="row-content"/>
                <w:color w:val="244061"/>
              </w:rPr>
              <w:t xml:space="preserve">, Superseded 02/04/2019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estimated duration of a pregnancy in total completed weeks, on the day of the first visit for antenatal care.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f1d189f327944708">
              <w:r>
                <w:rPr>
                  <w:rStyle w:val="Hyperlink"/>
                </w:rPr>
                <w:t xml:space="preserve">Pregnancy—estimated duration </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064158dafe994533">
              <w:r>
                <w:rPr>
                  <w:rStyle w:val="Hyperlink"/>
                </w:rPr>
                <w:t xml:space="preserve">Total weeks N[N]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Total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Supplementary values:</w:t>
            </w:r>
          </w:p>
        </w:tc>
        <w:tc>
          <w:tcPr>
            <w:tcW w:w="1000" w:type="pct"/>
            <w:tcBorders>
              <w:top w:val="none" w:color="000000" w:sz="0"/>
              <w:left w:val="none" w:color="000000" w:sz="0"/>
              <w:bottom w:val="none" w:color="000000" w:sz="0"/>
              <w:right w:val="none" w:color="000000" w:sz="0"/>
            </w:tcBorders>
            <w:vAlign w:val="top"/>
          </w:tcPr>
          <w:p>
            <w:r>
              <w:t xml:space="preserve">99</w:t>
            </w:r>
            <w:r>
              <w:br/>
            </w:r>
            <w:r>
              <w:t xml:space="preserve"> </w:t>
            </w:r>
          </w:p>
        </w:tc>
        <w:tc>
          <w:tcPr>
            <w:tcBorders>
              <w:top w:val="none" w:color="000000" w:sz="0"/>
              <w:left w:val="none" w:color="000000" w:sz="0"/>
              <w:bottom w:val="none" w:color="000000" w:sz="0"/>
              <w:right w:val="none" w:color="000000" w:sz="0"/>
            </w:tcBorders>
            <w:vAlign w:val="top"/>
          </w:tcPr>
          <w:p>
            <w:r>
              <w:t xml:space="preserve">Not stated/unknown</w:t>
            </w:r>
            <w:r>
              <w:br/>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Completed weeks</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day of the first visit for antenatal care is the day of the first contact with a midwife, medical practitioner, or other recognised health professional where antenatal care was provided. It does not include a visit where the sole purpose of contact is to confirm the pregnancy, or those contacts that occurred during the pregnancy that related solely to non-pregnancy related issues. It does not include a first contact after the onset of labour.</w:t>
            </w:r>
          </w:p>
          <w:p>
            <w:pPr/>
            <w:r>
              <w:rPr>
                <w:rStyle w:val="row-content-rich-text"/>
              </w:rPr>
              <w:t xml:space="preserve">Antenatal care visits are attributed to the pregnant woman. The duration of the pregnancy on that day is the same as the gestational age of the fetus or baby on that day.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Collection methods: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To be collected at any time during the pregnancy or birth episode after the best estimate of gestational age has been determined.</w:t>
            </w:r>
          </w:p>
          <w:p>
            <w:pPr>
              <w:spacing w:after="160"/>
            </w:pPr>
            <w:r>
              <w:rPr>
                <w:rStyle w:val="row-content-rich-text"/>
              </w:rPr>
              <w:t xml:space="preserve">The method of data collection will usually be from health records of pregnancy and/or birth.</w:t>
            </w:r>
          </w:p>
          <w:p>
            <w:pPr/>
            <w:r>
              <w:rPr>
                <w:rStyle w:val="row-content-rich-text"/>
              </w:rPr>
              <w:t xml:space="preserve">The valid range of completed weeks for pregnancy duration at the first visit for antenatal care is 3–46.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National Perinatal Data Development Committee</w:t>
            </w:r>
          </w:p>
          <w:p>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0cf8dcc1d03948f6">
              <w:r>
                <w:rPr>
                  <w:rStyle w:val="Hyperlink"/>
                </w:rPr>
                <w:t xml:space="preserve">Pregnancy—estimated duration (at the first visit for antenatal care), completed weeks N[N]</w:t>
              </w:r>
            </w:hyperlink>
          </w:p>
          <w:p>
            <w:pPr>
              <w:pStyle w:val="registration-status"/>
              <w:spacing w:before="0" w:after="0"/>
            </w:pPr>
            <w:hyperlink w:history="true" r:id="R674ed325fdb344d0">
              <w:r>
                <w:rPr>
                  <w:rStyle w:val="Hyperlink"/>
                  <w:color w:val="244061"/>
                </w:rPr>
                <w:t xml:space="preserve">Health</w:t>
              </w:r>
            </w:hyperlink>
            <w:r>
              <w:rPr>
                <w:rStyle w:val="row-content"/>
                <w:color w:val="244061"/>
              </w:rPr>
              <w:t xml:space="preserve">, Superseded 02/08/2017</w:t>
            </w:r>
          </w:p>
          <w:p>
            <w:pPr>
              <w:pStyle w:val="registration-status"/>
              <w:spacing w:before="0" w:after="0"/>
            </w:pPr>
            <w:hyperlink w:history="true" r:id="Rf77f5916747e494a">
              <w:r>
                <w:rPr>
                  <w:rStyle w:val="Hyperlink"/>
                  <w:color w:val="244061"/>
                </w:rPr>
                <w:t xml:space="preserve">Indigenous</w:t>
              </w:r>
            </w:hyperlink>
            <w:r>
              <w:rPr>
                <w:rStyle w:val="row-content"/>
                <w:color w:val="244061"/>
              </w:rPr>
              <w:t xml:space="preserve">, Superseded 22/10/2018</w:t>
            </w:r>
          </w:p>
          <w:p>
            <w:pPr>
              <w:pStyle w:val="registration-status"/>
              <w:spacing w:before="0" w:after="0"/>
            </w:pPr>
            <w:hyperlink w:history="true" r:id="R2a3e4f0f93864a6b">
              <w:r>
                <w:rPr>
                  <w:rStyle w:val="Hyperlink"/>
                  <w:color w:val="244061"/>
                </w:rPr>
                <w:t xml:space="preserve">Tasmanian Health (retired)</w:t>
              </w:r>
            </w:hyperlink>
            <w:r>
              <w:rPr>
                <w:rStyle w:val="row-content"/>
                <w:color w:val="244061"/>
              </w:rPr>
              <w:t xml:space="preserve">, Superseded 03/07/2020</w:t>
            </w:r>
          </w:p>
          <w:p>
            <w:r>
              <w:br/>
            </w:r>
            <w:r>
              <w:rPr>
                <w:rStyle w:val="row-content"/>
              </w:rPr>
              <w:t xml:space="preserve">Has been superseded by </w:t>
            </w:r>
            <w:hyperlink w:history="true" r:id="Re17e593d791e4696">
              <w:r>
                <w:rPr>
                  <w:rStyle w:val="Hyperlink"/>
                </w:rPr>
                <w:t xml:space="preserve">Pregnancy—estimated duration of pregnancy at the first antenatal care visit, total completed weeks N[N]</w:t>
              </w:r>
            </w:hyperlink>
          </w:p>
          <w:p>
            <w:pPr>
              <w:pStyle w:val="registration-status"/>
              <w:spacing w:before="0" w:after="0"/>
            </w:pPr>
            <w:hyperlink w:history="true" r:id="Reef8b645f5d84964">
              <w:r>
                <w:rPr>
                  <w:rStyle w:val="Hyperlink"/>
                  <w:color w:val="244061"/>
                </w:rPr>
                <w:t xml:space="preserve">Health</w:t>
              </w:r>
            </w:hyperlink>
            <w:r>
              <w:rPr>
                <w:rStyle w:val="row-content"/>
                <w:color w:val="244061"/>
              </w:rPr>
              <w:t xml:space="preserve">, Superseded 03/12/2020</w:t>
            </w:r>
          </w:p>
          <w:p>
            <w:pPr>
              <w:pStyle w:val="registration-status"/>
              <w:spacing w:before="0" w:after="0"/>
            </w:pPr>
            <w:hyperlink w:history="true" r:id="R6f81439941cc4832">
              <w:r>
                <w:rPr>
                  <w:rStyle w:val="Hyperlink"/>
                  <w:color w:val="244061"/>
                </w:rPr>
                <w:t xml:space="preserve">Indigenous</w:t>
              </w:r>
            </w:hyperlink>
            <w:r>
              <w:rPr>
                <w:rStyle w:val="row-content"/>
                <w:color w:val="244061"/>
              </w:rPr>
              <w:t xml:space="preserve">, Superseded 14/07/2021</w:t>
            </w:r>
          </w:p>
          <w:p>
            <w:pPr>
              <w:pStyle w:val="registration-status"/>
              <w:spacing w:before="0" w:after="0"/>
            </w:pPr>
            <w:hyperlink w:history="true" r:id="R2aa32ccb19f64cbe">
              <w:r>
                <w:rPr>
                  <w:rStyle w:val="Hyperlink"/>
                  <w:color w:val="244061"/>
                </w:rPr>
                <w:t xml:space="preserve">Tasmanian Health (retired)</w:t>
              </w:r>
            </w:hyperlink>
            <w:r>
              <w:rPr>
                <w:rStyle w:val="row-content"/>
                <w:color w:val="244061"/>
              </w:rPr>
              <w:t xml:space="preserve">, Superseded 24/03/2023</w:t>
            </w:r>
          </w:p>
          <w:p>
            <w:r>
              <w:br/>
            </w:r>
            <w:r>
              <w:rPr>
                <w:rStyle w:val="row-content"/>
              </w:rPr>
              <w:t xml:space="preserve">See also </w:t>
            </w:r>
            <w:hyperlink w:history="true" r:id="R6a67f25db2684d6e">
              <w:r>
                <w:rPr>
                  <w:rStyle w:val="Hyperlink"/>
                </w:rPr>
                <w:t xml:space="preserve">Product of conception—gestational age, completed weeks N[N]</w:t>
              </w:r>
            </w:hyperlink>
          </w:p>
          <w:p>
            <w:pPr>
              <w:pStyle w:val="registration-status"/>
              <w:spacing w:before="0" w:after="0"/>
            </w:pPr>
            <w:hyperlink w:history="true" r:id="R38d854456e3843b7">
              <w:r>
                <w:rPr>
                  <w:rStyle w:val="Hyperlink"/>
                  <w:color w:val="244061"/>
                </w:rPr>
                <w:t xml:space="preserve">Health</w:t>
              </w:r>
            </w:hyperlink>
            <w:r>
              <w:rPr>
                <w:rStyle w:val="row-content"/>
                <w:color w:val="244061"/>
              </w:rPr>
              <w:t xml:space="preserve">, Superseded 12/12/2018</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d41adb3681784e61">
              <w:r>
                <w:rPr>
                  <w:rStyle w:val="Hyperlink"/>
                </w:rPr>
                <w:t xml:space="preserve">Indigenous primary health care NBEDS 2018–19</w:t>
              </w:r>
            </w:hyperlink>
          </w:p>
          <w:p>
            <w:pPr>
              <w:pStyle w:val="registration-status"/>
              <w:spacing w:before="0" w:after="0"/>
            </w:pPr>
            <w:hyperlink w:history="true" r:id="R2ee327ebe42e43f9">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b217c6fb8a264734">
              <w:r>
                <w:rPr>
                  <w:rStyle w:val="Hyperlink"/>
                  <w:color w:val="244061"/>
                </w:rPr>
                <w:t xml:space="preserve">Indigenous</w:t>
              </w:r>
            </w:hyperlink>
            <w:r>
              <w:rPr>
                <w:rStyle w:val="row-content"/>
                <w:color w:val="244061"/>
              </w:rPr>
              <w:t xml:space="preserve">, Superseded 02/04/2019</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DSS specific information: </w:t>
            </w:r>
          </w:p>
          <w:p>
            <w:r>
              <w:rPr>
                <w:rStyle w:val="row-content"/>
              </w:rPr>
              <w:t xml:space="preserve">This item is only collected for women who gave birth during the preceding 12 months.</w:t>
            </w:r>
          </w:p>
          <w:p>
            <w:r>
              <w:br/>
            </w:r>
            <w:r>
              <w:br/>
            </w:r>
            <w:hyperlink w:history="true" r:id="R47970d885eaf4854">
              <w:r>
                <w:rPr>
                  <w:rStyle w:val="Hyperlink"/>
                </w:rPr>
                <w:t xml:space="preserve">Perinatal NMDS 2018-19</w:t>
              </w:r>
            </w:hyperlink>
          </w:p>
          <w:p>
            <w:pPr>
              <w:pStyle w:val="registration-status"/>
              <w:spacing w:before="0" w:after="0"/>
            </w:pPr>
            <w:hyperlink w:history="true" r:id="R8842a629765e4570">
              <w:r>
                <w:rPr>
                  <w:rStyle w:val="Hyperlink"/>
                  <w:color w:val="244061"/>
                </w:rPr>
                <w:t xml:space="preserve">Health</w:t>
              </w:r>
            </w:hyperlink>
            <w:r>
              <w:rPr>
                <w:rStyle w:val="row-content"/>
                <w:color w:val="244061"/>
              </w:rPr>
              <w:t xml:space="preserve">, Superseded 12/12/2018</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DSS specific information: </w:t>
            </w:r>
          </w:p>
          <w:p>
            <w:r>
              <w:rPr>
                <w:rStyle w:val="row-content"/>
              </w:rPr>
              <w:t xml:space="preserve">This item is collected for the mother only.</w:t>
            </w:r>
          </w:p>
          <w:p>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rPr>
              <w:t xml:space="preserve">Used as Numerator</w:t>
            </w:r>
            <w:r>
              <w:br/>
            </w:r>
            <w:hyperlink w:history="true" r:id="R43bc2c674fc04339">
              <w:r>
                <w:rPr>
                  <w:rStyle w:val="Hyperlink"/>
                </w:rPr>
                <w:t xml:space="preserve">Australian Health Performance Framework: PI 2.1.2–Females with an antenatal visit in the first trimester of pregnancy, 2020</w:t>
              </w:r>
            </w:hyperlink>
          </w:p>
          <w:p>
            <w:pPr>
              <w:pStyle w:val="registration-status"/>
              <w:spacing w:before="0" w:after="0"/>
            </w:pPr>
            <w:hyperlink w:history="true" r:id="R254b2ef1761b49ac">
              <w:r>
                <w:rPr>
                  <w:rStyle w:val="Hyperlink"/>
                  <w:color w:val="244061"/>
                </w:rPr>
                <w:t xml:space="preserve">Health</w:t>
              </w:r>
            </w:hyperlink>
            <w:r>
              <w:rPr>
                <w:rStyle w:val="row-content"/>
                <w:color w:val="244061"/>
              </w:rPr>
              <w:t xml:space="preserve">, Standard 01/12/2020</w:t>
            </w:r>
          </w:p>
          <w:p>
            <w:r>
              <w:br/>
            </w:r>
            <w:hyperlink w:history="true" r:id="R862a81a2115b4f32">
              <w:r>
                <w:rPr>
                  <w:rStyle w:val="Hyperlink"/>
                </w:rPr>
                <w:t xml:space="preserve">Indigenous primary health care: PI13a-Number of regular clients who had their first antenatal care visit within specified periods, 2018-2019</w:t>
              </w:r>
            </w:hyperlink>
          </w:p>
          <w:p>
            <w:pPr>
              <w:pStyle w:val="registration-status"/>
              <w:spacing w:before="0" w:after="0"/>
            </w:pPr>
            <w:hyperlink w:history="true" r:id="R783d641590634b6a">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522b7611bec741d0">
              <w:r>
                <w:rPr>
                  <w:rStyle w:val="Hyperlink"/>
                  <w:color w:val="244061"/>
                </w:rPr>
                <w:t xml:space="preserve">Indigenous</w:t>
              </w:r>
            </w:hyperlink>
            <w:r>
              <w:rPr>
                <w:rStyle w:val="row-content"/>
                <w:color w:val="244061"/>
              </w:rPr>
              <w:t xml:space="preserve">, Superseded 14/07/2021</w:t>
            </w:r>
          </w:p>
          <w:p>
            <w:r>
              <w:br/>
            </w:r>
            <w:hyperlink w:history="true" r:id="R5ad4962e983748d1">
              <w:r>
                <w:rPr>
                  <w:rStyle w:val="Hyperlink"/>
                </w:rPr>
                <w:t xml:space="preserve">Indigenous primary health care: PI13b-Proportion of regular clients who had their first antenatal care visit within specified periods, 2018-2019</w:t>
              </w:r>
            </w:hyperlink>
          </w:p>
          <w:p>
            <w:pPr>
              <w:pStyle w:val="registration-status"/>
              <w:spacing w:before="0" w:after="0"/>
            </w:pPr>
            <w:hyperlink w:history="true" r:id="R46f89e69ba0148fd">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2de40e695e3b4a61">
              <w:r>
                <w:rPr>
                  <w:rStyle w:val="Hyperlink"/>
                  <w:color w:val="244061"/>
                </w:rPr>
                <w:t xml:space="preserve">Indigenous</w:t>
              </w:r>
            </w:hyperlink>
            <w:r>
              <w:rPr>
                <w:rStyle w:val="row-content"/>
                <w:color w:val="244061"/>
              </w:rPr>
              <w:t xml:space="preserve">, Superseded 14/07/2021</w:t>
            </w:r>
          </w:p>
          <w:p>
            <w:r>
              <w:br/>
            </w:r>
            <w:r>
              <w:rPr>
                <w:rStyle w:val="row-content"/>
                <w:b/>
              </w:rPr>
              <w:t xml:space="preserve">Used as Denominator</w:t>
            </w:r>
            <w:r>
              <w:br/>
            </w:r>
            <w:hyperlink w:history="true" r:id="R234fcec4bbd14d3e">
              <w:r>
                <w:rPr>
                  <w:rStyle w:val="Hyperlink"/>
                </w:rPr>
                <w:t xml:space="preserve">Australian Health Performance Framework: PI 2.1.2–Females with an antenatal visit in the first trimester of pregnancy, 2020</w:t>
              </w:r>
            </w:hyperlink>
          </w:p>
          <w:p>
            <w:pPr>
              <w:pStyle w:val="registration-status"/>
              <w:spacing w:before="0" w:after="0"/>
            </w:pPr>
            <w:hyperlink w:history="true" r:id="R5e1b35968382474a">
              <w:r>
                <w:rPr>
                  <w:rStyle w:val="Hyperlink"/>
                  <w:color w:val="244061"/>
                </w:rPr>
                <w:t xml:space="preserve">Health</w:t>
              </w:r>
            </w:hyperlink>
            <w:r>
              <w:rPr>
                <w:rStyle w:val="row-content"/>
                <w:color w:val="244061"/>
              </w:rPr>
              <w:t xml:space="preserve">, Standard 01/12/2020</w:t>
            </w:r>
          </w:p>
          <w:p>
            <w:r>
              <w:br/>
            </w:r>
          </w:p>
        </w:tc>
      </w:tr>
    </w:tbl>
    <w:p/>
    <w:tbl>
      <w:tblPr>
        <w:tblStyle w:val="TableGrid"/>
        <w:tblW w:w="0" w:type="auto"/>
      </w:tblPr>
    </w:tbl>
    <w:p>
      <w:r>
        <w:br/>
      </w:r>
    </w:p>
    <w:sectPr>
      <w:footerReference xmlns:r="http://schemas.openxmlformats.org/officeDocument/2006/relationships" w:type="default" r:id="Rbd1e61dc3f8b401a"/>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673258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d668ecbade814835"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bd1e61dc3f8b401a" /><Relationship Type="http://schemas.openxmlformats.org/officeDocument/2006/relationships/header" Target="/word/header1.xml" Id="R340104a267204129" /><Relationship Type="http://schemas.openxmlformats.org/officeDocument/2006/relationships/settings" Target="/word/settings.xml" Id="Rebcb70801eba4a32" /><Relationship Type="http://schemas.openxmlformats.org/officeDocument/2006/relationships/styles" Target="/word/styles.xml" Id="R4b0384aff8a14c05" /><Relationship Type="http://schemas.openxmlformats.org/officeDocument/2006/relationships/hyperlink" Target="https://meteor.aihw.gov.au/RegistrationAuthority/12" TargetMode="External" Id="R8aa1f449754346c2" /><Relationship Type="http://schemas.openxmlformats.org/officeDocument/2006/relationships/hyperlink" Target="https://meteor.aihw.gov.au/RegistrationAuthority/6" TargetMode="External" Id="R8240413a777b4c3f" /><Relationship Type="http://schemas.openxmlformats.org/officeDocument/2006/relationships/hyperlink" Target="https://meteor.aihw.gov.au/content/379595" TargetMode="External" Id="Rf1d189f327944708" /><Relationship Type="http://schemas.openxmlformats.org/officeDocument/2006/relationships/hyperlink" Target="https://meteor.aihw.gov.au/content/308220" TargetMode="External" Id="R064158dafe994533" /><Relationship Type="http://schemas.openxmlformats.org/officeDocument/2006/relationships/hyperlink" Target="https://meteor.aihw.gov.au/content/379597" TargetMode="External" Id="R0cf8dcc1d03948f6" /><Relationship Type="http://schemas.openxmlformats.org/officeDocument/2006/relationships/hyperlink" Target="https://meteor.aihw.gov.au/RegistrationAuthority/12" TargetMode="External" Id="R674ed325fdb344d0" /><Relationship Type="http://schemas.openxmlformats.org/officeDocument/2006/relationships/hyperlink" Target="https://meteor.aihw.gov.au/RegistrationAuthority/6" TargetMode="External" Id="Rf77f5916747e494a" /><Relationship Type="http://schemas.openxmlformats.org/officeDocument/2006/relationships/hyperlink" Target="https://meteor.aihw.gov.au/RegistrationAuthority/15" TargetMode="External" Id="R2a3e4f0f93864a6b" /><Relationship Type="http://schemas.openxmlformats.org/officeDocument/2006/relationships/hyperlink" Target="https://meteor.aihw.gov.au/content/695410" TargetMode="External" Id="Re17e593d791e4696" /><Relationship Type="http://schemas.openxmlformats.org/officeDocument/2006/relationships/hyperlink" Target="https://meteor.aihw.gov.au/RegistrationAuthority/12" TargetMode="External" Id="Reef8b645f5d84964" /><Relationship Type="http://schemas.openxmlformats.org/officeDocument/2006/relationships/hyperlink" Target="https://meteor.aihw.gov.au/RegistrationAuthority/6" TargetMode="External" Id="R6f81439941cc4832" /><Relationship Type="http://schemas.openxmlformats.org/officeDocument/2006/relationships/hyperlink" Target="https://meteor.aihw.gov.au/RegistrationAuthority/15" TargetMode="External" Id="R2aa32ccb19f64cbe" /><Relationship Type="http://schemas.openxmlformats.org/officeDocument/2006/relationships/hyperlink" Target="https://meteor.aihw.gov.au/content/669039" TargetMode="External" Id="R6a67f25db2684d6e" /><Relationship Type="http://schemas.openxmlformats.org/officeDocument/2006/relationships/hyperlink" Target="https://meteor.aihw.gov.au/RegistrationAuthority/12" TargetMode="External" Id="R38d854456e3843b7" /><Relationship Type="http://schemas.openxmlformats.org/officeDocument/2006/relationships/hyperlink" Target="https://meteor.aihw.gov.au/content/694101" TargetMode="External" Id="Rd41adb3681784e61" /><Relationship Type="http://schemas.openxmlformats.org/officeDocument/2006/relationships/hyperlink" Target="https://meteor.aihw.gov.au/RegistrationAuthority/12" TargetMode="External" Id="R2ee327ebe42e43f9" /><Relationship Type="http://schemas.openxmlformats.org/officeDocument/2006/relationships/hyperlink" Target="https://meteor.aihw.gov.au/RegistrationAuthority/6" TargetMode="External" Id="Rb217c6fb8a264734" /><Relationship Type="http://schemas.openxmlformats.org/officeDocument/2006/relationships/hyperlink" Target="https://meteor.aihw.gov.au/content/668811" TargetMode="External" Id="R47970d885eaf4854" /><Relationship Type="http://schemas.openxmlformats.org/officeDocument/2006/relationships/hyperlink" Target="https://meteor.aihw.gov.au/RegistrationAuthority/12" TargetMode="External" Id="R8842a629765e4570" /><Relationship Type="http://schemas.openxmlformats.org/officeDocument/2006/relationships/hyperlink" Target="https://meteor.aihw.gov.au/content/728325" TargetMode="External" Id="R43bc2c674fc04339" /><Relationship Type="http://schemas.openxmlformats.org/officeDocument/2006/relationships/hyperlink" Target="https://meteor.aihw.gov.au/RegistrationAuthority/12" TargetMode="External" Id="R254b2ef1761b49ac" /><Relationship Type="http://schemas.openxmlformats.org/officeDocument/2006/relationships/hyperlink" Target="https://meteor.aihw.gov.au/content/687974" TargetMode="External" Id="R862a81a2115b4f32" /><Relationship Type="http://schemas.openxmlformats.org/officeDocument/2006/relationships/hyperlink" Target="https://meteor.aihw.gov.au/RegistrationAuthority/12" TargetMode="External" Id="R783d641590634b6a" /><Relationship Type="http://schemas.openxmlformats.org/officeDocument/2006/relationships/hyperlink" Target="https://meteor.aihw.gov.au/RegistrationAuthority/6" TargetMode="External" Id="R522b7611bec741d0" /><Relationship Type="http://schemas.openxmlformats.org/officeDocument/2006/relationships/hyperlink" Target="https://meteor.aihw.gov.au/content/687976" TargetMode="External" Id="R5ad4962e983748d1" /><Relationship Type="http://schemas.openxmlformats.org/officeDocument/2006/relationships/hyperlink" Target="https://meteor.aihw.gov.au/RegistrationAuthority/12" TargetMode="External" Id="R46f89e69ba0148fd" /><Relationship Type="http://schemas.openxmlformats.org/officeDocument/2006/relationships/hyperlink" Target="https://meteor.aihw.gov.au/RegistrationAuthority/6" TargetMode="External" Id="R2de40e695e3b4a61" /><Relationship Type="http://schemas.openxmlformats.org/officeDocument/2006/relationships/hyperlink" Target="https://meteor.aihw.gov.au/content/728325" TargetMode="External" Id="R234fcec4bbd14d3e" /><Relationship Type="http://schemas.openxmlformats.org/officeDocument/2006/relationships/hyperlink" Target="https://meteor.aihw.gov.au/RegistrationAuthority/12" TargetMode="External" Id="R5e1b35968382474a" /></Relationships>
</file>

<file path=word/_rels/header1.xml.rels>&#65279;<?xml version="1.0" encoding="utf-8"?><Relationships xmlns="http://schemas.openxmlformats.org/package/2006/relationships"><Relationship Type="http://schemas.openxmlformats.org/officeDocument/2006/relationships/image" Target="/media/image.png" Id="Rd668ecbade814835" /></Relationships>
</file>