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ef45dc13d84d2e"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5b-Proportion of patients with heavy menstrual bleeding who are deemed clinically suitable for a levonorgestrel-releasing intra-uterine system and have one inserted or are referred for insertion</w:t>
      </w:r>
    </w:p>
    <w:p>
      <w:pPr>
        <w:pStyle w:val="Subtitle"/>
      </w:pPr>
      <w:r>
        <w:t>Exported from METEOR</w:t>
      </w:r>
    </w:p>
    <w:p>
      <w:pPr>
        <w:pStyle w:val="Subtitle"/>
        <w:spacing w:after="13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5b-Proportion of patients with heavy menstrual bleeding who are deemed clinically suitable for a levonorgestrel-releasing intra-uterine system and have one inserted or are referred for insertion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5b-Proportion of patients with heavy menstrual bleeding who are deemed clinically suitable for a levonorgestrel-releasing intra-uterine system and have one inserted or are referred for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2057eff824110">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d9ce4630434545d8">
              <w:r>
                <w:rPr>
                  <w:rStyle w:val="Hyperlink"/>
                  <w:b/>
                </w:rPr>
                <w:t xml:space="preserve">heavy menstrual bleeding </w:t>
              </w:r>
            </w:hyperlink>
            <w:r>
              <w:rPr>
                <w:rStyle w:val="row-content-rich-text"/>
              </w:rPr>
              <w:t xml:space="preserve">who are deemed clinically suitable for a levonorgestrel-releasing intra-uterine system, choose to have one, and have one inserted or are referred for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7b706eafca4b7b">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6864205209e24f3c">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applies both to practices where there are clinicians who are trained to insert levonorgestrel-releasing intra-uterine systems, and to those where there are not.</w:t>
            </w:r>
          </w:p>
          <w:p>
            <w:pPr>
              <w:spacing w:after="160"/>
            </w:pPr>
            <w:r>
              <w:rPr>
                <w:rStyle w:val="row-content-rich-text"/>
              </w:rPr>
              <w:t xml:space="preserve">For the numerator, ‘locally’ means at the practice that is measuring this indicator. For the patient to be counted as having been referred to another provider, this must be documented in their medical record at the referring practice.</w:t>
            </w:r>
          </w:p>
          <w:p>
            <w:pPr>
              <w:spacing w:after="160"/>
            </w:pPr>
            <w:r>
              <w:rPr>
                <w:rStyle w:val="row-content-rich-text"/>
              </w:rPr>
              <w:t xml:space="preserve">The denominator excludes:</w:t>
            </w:r>
          </w:p>
          <w:p>
            <w:pPr>
              <w:pStyle w:val="ListParagraph"/>
              <w:numPr>
                <w:ilvl w:val="0"/>
                <w:numId w:val="2"/>
              </w:numPr>
            </w:pPr>
            <w:r>
              <w:rPr>
                <w:rStyle w:val="row-content-rich-text"/>
              </w:rPr>
              <w:t xml:space="preserve">patients with suspected or confirmed structural or histological abnormalities, as documented in their medical record; and</w:t>
            </w:r>
          </w:p>
          <w:p>
            <w:pPr>
              <w:pStyle w:val="ListParagraph"/>
              <w:numPr>
                <w:ilvl w:val="0"/>
                <w:numId w:val="2"/>
              </w:numPr>
            </w:pPr>
            <w:r>
              <w:rPr>
                <w:rStyle w:val="row-content-rich-text"/>
              </w:rPr>
              <w:t xml:space="preserve">patients who are not clinically suitable for a levonorgestrel-releasing intra-uterine system, as documented in their medical record.</w:t>
            </w:r>
          </w:p>
          <w:p>
            <w:pPr>
              <w:spacing w:after="160"/>
            </w:pPr>
            <w:r>
              <w:rPr>
                <w:rStyle w:val="row-content-rich-text"/>
              </w:rPr>
              <w:t xml:space="preserve">The denominator includes patients who are deemed clinically suitable for a levonorgestrel-releasing intra-uterine system, but who choose </w:t>
            </w:r>
            <w:r>
              <w:rPr>
                <w:rStyle w:val="row-content-rich-text"/>
                <w:u w:val="single"/>
              </w:rPr>
              <w:t xml:space="preserve">not</w:t>
            </w:r>
            <w:r>
              <w:rPr>
                <w:rStyle w:val="row-content-rich-text"/>
              </w:rPr>
              <w:t xml:space="preserve"> to have one inserted.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heavy menstrual bleeding deemed clinically suitable for a levonorgestrel-releasing intra-uterine system, who choose to have one, and who have one inserted locally or who are referred to another provider to have one inserted.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heavy menstrual bleeding deemed clinically suitable for a levonorgestrel-releasing intra-uterine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(including general practice, family planning and sexual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2d996269f614a54">
              <w:r>
                <w:rPr>
                  <w:rStyle w:val="Hyperlink"/>
                </w:rPr>
                <w:t xml:space="preserve">Heavy menstrual bleeding clinical care standard indicators: 5a-Local arrangements for referral of patients with heavy menstrual bleeding for insertion of a levonorgestrel-releasing intra-uterine system</w:t>
              </w:r>
            </w:hyperlink>
          </w:p>
          <w:p>
            <w:pPr>
              <w:spacing w:before="0" w:after="0"/>
            </w:pPr>
            <w:r>
              <w:rPr>
                <w:rStyle w:val="row-content"/>
                <w:color w:val="244061"/>
              </w:rPr>
              <w:t xml:space="preserve">       </w:t>
            </w:r>
            <w:hyperlink w:history="true" r:id="Rbc6753bf81d64bfe">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db655ec40500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63d8aca83b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55ec4050042c1" /><Relationship Type="http://schemas.openxmlformats.org/officeDocument/2006/relationships/header" Target="/word/header1.xml" Id="Rffb6325a090e4136" /><Relationship Type="http://schemas.openxmlformats.org/officeDocument/2006/relationships/settings" Target="/word/settings.xml" Id="R98d6787fccfc4618" /><Relationship Type="http://schemas.openxmlformats.org/officeDocument/2006/relationships/styles" Target="/word/styles.xml" Id="R008e93dbbafc4ab7" /><Relationship Type="http://schemas.openxmlformats.org/officeDocument/2006/relationships/hyperlink" Target="https://meteor.aihw.gov.au/RegistrationAuthority/12" TargetMode="External" Id="R43b2057eff824110" /><Relationship Type="http://schemas.openxmlformats.org/officeDocument/2006/relationships/hyperlink" Target="https://meteor.aihw.gov.au/content/667292" TargetMode="External" Id="Rd9ce4630434545d8" /><Relationship Type="http://schemas.openxmlformats.org/officeDocument/2006/relationships/hyperlink" Target="https://meteor.aihw.gov.au/content/666572" TargetMode="External" Id="Rd77b706eafca4b7b" /><Relationship Type="http://schemas.openxmlformats.org/officeDocument/2006/relationships/hyperlink" Target="https://meteor.aihw.gov.au/RegistrationAuthority/12" TargetMode="External" Id="R6864205209e24f3c" /><Relationship Type="http://schemas.openxmlformats.org/officeDocument/2006/relationships/numbering" Target="/word/numbering.xml" Id="R39054624e7a344b6" /><Relationship Type="http://schemas.openxmlformats.org/officeDocument/2006/relationships/hyperlink" Target="https://meteor.aihw.gov.au/content/667313" TargetMode="External" Id="Re2d996269f614a54" /><Relationship Type="http://schemas.openxmlformats.org/officeDocument/2006/relationships/hyperlink" Target="https://meteor.aihw.gov.au/RegistrationAuthority/12" TargetMode="External" Id="Rbc6753bf81d64bfe" /></Relationships>
</file>

<file path=word/_rels/header1.xml.rels>&#65279;<?xml version="1.0" encoding="utf-8"?><Relationships xmlns="http://schemas.openxmlformats.org/package/2006/relationships"><Relationship Type="http://schemas.openxmlformats.org/officeDocument/2006/relationships/image" Target="/media/image.png" Id="R5463d8aca83b4163" /></Relationships>
</file>