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7998131a1409d"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4d8c4bab5425d">
              <w:r>
                <w:rPr>
                  <w:rStyle w:val="Hyperlink"/>
                  <w:color w:val="244061"/>
                </w:rPr>
                <w:t xml:space="preserve">AIHW Data Quality Statements</w:t>
              </w:r>
            </w:hyperlink>
            <w:r>
              <w:rPr>
                <w:rStyle w:val="row-content"/>
                <w:color w:val="244061"/>
              </w:rPr>
              <w:t xml:space="preserve">, Superseded 15/12/2017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Cases of SAB have been reported by all states and territories using the nationally agreed case definition.</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accuracy and comparability of the rates of SAB among jurisdictions and over time are also limited because the count of days of patient care reflects the amount of admitted patient activity, but does not reflect the amount of non-admitted patient activity.</w:t>
            </w:r>
          </w:p>
          <w:p>
            <w:pPr>
              <w:pStyle w:val="ListParagraph"/>
              <w:numPr>
                <w:ilvl w:val="0"/>
                <w:numId w:val="2"/>
              </w:numPr>
            </w:pPr>
            <w:r>
              <w:rPr>
                <w:rStyle w:val="row-content-rich-text"/>
              </w:rPr>
              <w:t xml:space="preserve">The data for 2011–12 to 2015–16 are comparable.</w:t>
            </w:r>
          </w:p>
          <w:p>
            <w:pPr>
              <w:pStyle w:val="ListParagraph"/>
              <w:numPr>
                <w:ilvl w:val="0"/>
                <w:numId w:val="2"/>
              </w:numPr>
            </w:pPr>
            <w:r>
              <w:rPr>
                <w:rStyle w:val="row-content-rich-text"/>
              </w:rPr>
              <w:t xml:space="preserve">The data for 2010–11 are comparable with subsequent year data except for Queensland.</w:t>
            </w:r>
          </w:p>
          <w:p>
            <w:pPr>
              <w:pStyle w:val="ListParagraph"/>
              <w:numPr>
                <w:ilvl w:val="0"/>
                <w:numId w:val="2"/>
              </w:numPr>
            </w:pPr>
            <w:r>
              <w:rPr>
                <w:rStyle w:val="row-content-rich-text"/>
              </w:rPr>
              <w:t xml:space="preserve">New South Wales provided the number of occupied bed days, rather than the number of patient days under surveillance. The comparability of New South Wales data and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2015–16 patient day and coverage data may be preliminary for some hospitals or jurisdictions.</w:t>
            </w:r>
          </w:p>
          <w:p>
            <w:pPr>
              <w:pStyle w:val="ListParagraph"/>
              <w:numPr>
                <w:ilvl w:val="0"/>
                <w:numId w:val="2"/>
              </w:numPr>
            </w:pPr>
            <w:r>
              <w:rPr>
                <w:rStyle w:val="row-content-rich-text"/>
              </w:rPr>
              <w:t xml:space="preserve">Due to the changes in the denominator of the performance indicator specification, data published in 2017 for the reporting years 2010–11 to 2015–16 are not comparable with data previously published in COAG Reform Council publications, the AIHW series 'Staphylococcus aureus </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 episode of SAB:</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An invasive instrumentation or incision related to the SAB was performed within 48 hours.</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c52c52ae58e4e4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6a17c9c8a1644a4f">
              <w:r>
                <w:rPr>
                  <w:rStyle w:val="Hyperlink"/>
                  <w:i/>
                </w:rPr>
                <w:t xml:space="preserve">Australian Institute of Health and Welfare Act 1987</w:t>
              </w:r>
            </w:hyperlink>
            <w:r>
              <w:rPr>
                <w:rStyle w:val="row-content-rich-text"/>
              </w:rPr>
              <w:t xml:space="preserve">, in conjunction with compliance to the </w:t>
            </w:r>
            <w:hyperlink w:history="true" r:id="R6c854a9125b14892">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5b1d9d2795c4f38">
              <w:r>
                <w:rPr>
                  <w:rStyle w:val="Hyperlink"/>
                </w:rPr>
                <w:t xml:space="preserve">http://www.aihw.gov.au/</w:t>
              </w:r>
            </w:hyperlink>
            <w:r>
              <w:rPr>
                <w:rStyle w:val="row-content-rich-text"/>
              </w:rPr>
              <w:t xml:space="preserve">.</w:t>
            </w:r>
          </w:p>
          <w:p>
            <w:pPr>
              <w:spacing w:after="160"/>
            </w:pPr>
            <w:r>
              <w:rPr>
                <w:rStyle w:val="row-content-rich-text"/>
              </w:rPr>
              <w:t xml:space="preserve">Data for the NSABDC were supplied to the AIHW by state and territory health authorities for the purpose of reporting against the NHA performance benchmark and performance indicator ‘Healthcare-associated infections: </w:t>
            </w:r>
            <w:r>
              <w:rPr>
                <w:rStyle w:val="row-content-rich-text"/>
                <w:i/>
              </w:rPr>
              <w:t xml:space="preserve">Staphylococcus aureus</w:t>
            </w:r>
            <w:r>
              <w:rPr>
                <w:rStyle w:val="row-content-rich-text"/>
              </w:rPr>
              <w:t xml:space="preserve"> bacteraemia’ and for reporting under the Performance and Accountability Framework on the AIHW's MyHospitals website </w:t>
            </w:r>
            <w:hyperlink w:history="true" r:id="R5d0853d4684043bf">
              <w:r>
                <w:rPr>
                  <w:rStyle w:val="Hyperlink"/>
                </w:rPr>
                <w:t xml:space="preserve">http://www.myhospitals.gov.au/</w:t>
              </w:r>
            </w:hyperlink>
            <w:r>
              <w:rPr>
                <w:rStyle w:val="row-content-rich-text"/>
              </w:rPr>
              <w:t xml:space="preserve">.</w:t>
            </w:r>
          </w:p>
          <w:p>
            <w:pPr/>
            <w:r>
              <w:rPr>
                <w:rStyle w:val="row-content-rich-text"/>
              </w:rPr>
              <w:t xml:space="preserve">The Performance and Accountability Framework can be accessed at </w:t>
            </w:r>
            <w:hyperlink w:history="true" r:id="R1c50f33972944b98">
              <w:r>
                <w:rPr>
                  <w:rStyle w:val="Hyperlink"/>
                </w:rPr>
                <w:t xml:space="preserve">http://www.aihw.gov.au/health-performance/performance-and-accountability-framework/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The reference period for this data set is 2015–16, with revised data provided for 2010–11 to 2014–15.</w:t>
            </w:r>
          </w:p>
          <w:p>
            <w:pPr/>
            <w:r>
              <w:rPr>
                <w:rStyle w:val="row-content-rich-text"/>
              </w:rPr>
              <w:t xml:space="preserve">States and territories provided the data to the AIHW by December 2016. The data were published in January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in the 'Staphylococcus aureus</w:t>
            </w:r>
            <w:r>
              <w:rPr>
                <w:rStyle w:val="row-content-rich-text"/>
                <w:i/>
              </w:rPr>
              <w:t xml:space="preserve"> bacteraemia in Australian public hospitals: Australian hospital statistics'</w:t>
            </w:r>
            <w:r>
              <w:rPr>
                <w:rStyle w:val="row-content-rich-text"/>
              </w:rPr>
              <w:t xml:space="preserve"> series. These reports may be accessed on the AIHW website: </w:t>
            </w:r>
            <w:hyperlink w:history="true" r:id="R276e1a0cf59c4407">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90d791523be74860">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430a9fa3e9a9418c">
              <w:r>
                <w:rPr>
                  <w:rStyle w:val="Hyperlink"/>
                </w:rPr>
                <w:t xml:space="preserve">/content/index.phtml/itemId/630047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hospital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public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patient day data for 2015–16 may be preliminary for some hospitals or jurisdictions.</w:t>
            </w:r>
          </w:p>
          <w:p>
            <w:pPr/>
            <w:r>
              <w:rPr>
                <w:rStyle w:val="row-content-rich-text"/>
              </w:rPr>
              <w:t xml:space="preserve">New South Wales reports occupied bed days, rather than patient days, for calculation of the performance indicator denominator. The comparability of New South Wales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performance information 2008-09 </w:t>
            </w:r>
            <w:r>
              <w:rPr>
                <w:rStyle w:val="row-content-rich-text"/>
              </w:rPr>
              <w:t xml:space="preserve">(SCRGSP 2009).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resulted in counts of SAB cases for 2015–16 that are not comparable with previous years.</w:t>
            </w:r>
          </w:p>
          <w:p>
            <w:pPr>
              <w:spacing w:after="160"/>
            </w:pPr>
            <w:r>
              <w:rPr>
                <w:rStyle w:val="row-content-rich-text"/>
              </w:rPr>
              <w:t xml:space="preserve">Data for 2010–11 and 2011–12 are comparable, except for Queensland, where the 2010–11 data only include patients aged 14 years and over, whereas the 2011–12 data include patients of all ages.</w:t>
            </w:r>
          </w:p>
          <w:p>
            <w:pPr/>
            <w:r>
              <w:rPr>
                <w:rStyle w:val="row-content-rich-text"/>
              </w:rPr>
              <w:t xml:space="preserve">Due to the changes in the denominator of the performance indicator specification, data published in 2017 for the reporting years 2010–11 to 2015–16 are not comparable with data previously published in COAG Reform Council publications, the AIHW series 'Staphylococcus aureus</w:t>
            </w:r>
            <w:r>
              <w:rPr>
                <w:rStyle w:val="row-content-rich-text"/>
                <w:i/>
              </w:rPr>
              <w:t xml:space="preserve"> bacteraemia in Australian public hospitals: Australian hospital statistics'</w:t>
            </w:r>
            <w:r>
              <w:rPr>
                <w:rStyle w:val="row-content-rich-text"/>
              </w:rPr>
              <w:t xml:space="preserve"> nor the </w:t>
            </w:r>
            <w:r>
              <w:rPr>
                <w:rStyle w:val="row-content-rich-text"/>
                <w:i/>
              </w:rPr>
              <w:t xml:space="preserve">Report on Government Services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a5437110a748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38ab925b64cf6">
              <w:r>
                <w:rPr>
                  <w:rStyle w:val="Hyperlink"/>
                </w:rPr>
                <w:t xml:space="preserve">National Staphylococcus aureus Bacteraemia Data Collection (NSABDC) Data Quality Statement: 2011-12</w:t>
              </w:r>
            </w:hyperlink>
          </w:p>
          <w:p>
            <w:pPr>
              <w:pStyle w:val="registration-status"/>
              <w:spacing w:before="0" w:after="0"/>
            </w:pPr>
            <w:hyperlink w:history="true" r:id="Raf16c98f3e6844c8">
              <w:r>
                <w:rPr>
                  <w:rStyle w:val="Hyperlink"/>
                  <w:color w:val="244061"/>
                </w:rPr>
                <w:t xml:space="preserve">AIHW Data Quality Statements</w:t>
              </w:r>
            </w:hyperlink>
            <w:r>
              <w:rPr>
                <w:rStyle w:val="row-content"/>
                <w:color w:val="244061"/>
              </w:rPr>
              <w:t xml:space="preserve">, Superseded 03/02/2017</w:t>
            </w:r>
          </w:p>
          <w:p>
            <w:r>
              <w:br/>
            </w:r>
            <w:r>
              <w:rPr>
                <w:rStyle w:val="row-content"/>
              </w:rPr>
              <w:t xml:space="preserve">Has been superseded by </w:t>
            </w:r>
            <w:hyperlink w:history="true" r:id="R9c63d097fdff4522">
              <w:r>
                <w:rPr>
                  <w:rStyle w:val="Hyperlink"/>
                </w:rPr>
                <w:t xml:space="preserve">National Staphylococcus aureus Bacteraemia Data Collection, 2016–17: Quality Statement</w:t>
              </w:r>
            </w:hyperlink>
          </w:p>
          <w:p>
            <w:pPr>
              <w:pStyle w:val="registration-status"/>
              <w:spacing w:before="0" w:after="0"/>
            </w:pPr>
            <w:hyperlink w:history="true" r:id="R9a5f57117a0e45bd">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See also </w:t>
            </w:r>
            <w:hyperlink w:history="true" r:id="R075c184fb3f74fd3">
              <w:r>
                <w:rPr>
                  <w:rStyle w:val="Hyperlink"/>
                </w:rPr>
                <w:t xml:space="preserve">National Staphylococcus aureus Bacteraemia Data Collection, 2018–19: Quality Statement</w:t>
              </w:r>
            </w:hyperlink>
          </w:p>
          <w:p>
            <w:pPr>
              <w:pStyle w:val="registration-status"/>
              <w:spacing w:before="0" w:after="0"/>
            </w:pPr>
            <w:hyperlink w:history="true" r:id="R605e5a6e3f6c4d4d">
              <w:r>
                <w:rPr>
                  <w:rStyle w:val="Hyperlink"/>
                  <w:color w:val="244061"/>
                </w:rPr>
                <w:t xml:space="preserve">AIHW Data Quality Statements</w:t>
              </w:r>
            </w:hyperlink>
            <w:r>
              <w:rPr>
                <w:rStyle w:val="row-content"/>
                <w:color w:val="244061"/>
              </w:rPr>
              <w:t xml:space="preserve">, Superseded 01/03/2021</w:t>
            </w:r>
          </w:p>
          <w:p>
            <w:r>
              <w:br/>
            </w:r>
            <w:r>
              <w:rPr>
                <w:rStyle w:val="row-content"/>
              </w:rPr>
              <w:t xml:space="preserve">See also </w:t>
            </w:r>
            <w:hyperlink w:history="true" r:id="R524561cd0da549c8">
              <w:r>
                <w:rPr>
                  <w:rStyle w:val="Hyperlink"/>
                </w:rPr>
                <w:t xml:space="preserve">National Staphylococcus aureus Bacteraemia Data Collection, 2019–20: Quality Statement</w:t>
              </w:r>
            </w:hyperlink>
          </w:p>
          <w:p>
            <w:pPr>
              <w:pStyle w:val="registration-status"/>
              <w:spacing w:before="0" w:after="0"/>
            </w:pPr>
            <w:hyperlink w:history="true" r:id="R9395f85f04ac4a9d">
              <w:r>
                <w:rPr>
                  <w:rStyle w:val="Hyperlink"/>
                  <w:color w:val="244061"/>
                </w:rPr>
                <w:t xml:space="preserve">AIHW Data Quality Statements</w:t>
              </w:r>
            </w:hyperlink>
            <w:r>
              <w:rPr>
                <w:rStyle w:val="row-content"/>
                <w:color w:val="244061"/>
              </w:rPr>
              <w:t xml:space="preserve">, Superseded 21/02/2023</w:t>
            </w:r>
          </w:p>
          <w:p>
            <w:r>
              <w:br/>
            </w:r>
          </w:p>
        </w:tc>
      </w:tr>
    </w:tbl>
    <w:p>
      <w:r>
        <w:br/>
      </w:r>
    </w:p>
    <w:sectPr>
      <w:footerReference xmlns:r="http://schemas.openxmlformats.org/officeDocument/2006/relationships" w:type="default" r:id="Rec5f86d6384c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e5b63feac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f86d6384c40d7" /><Relationship Type="http://schemas.openxmlformats.org/officeDocument/2006/relationships/header" Target="/word/header1.xml" Id="R50d82426df43415b" /><Relationship Type="http://schemas.openxmlformats.org/officeDocument/2006/relationships/settings" Target="/word/settings.xml" Id="R11a03d36a25647a1" /><Relationship Type="http://schemas.openxmlformats.org/officeDocument/2006/relationships/styles" Target="/word/styles.xml" Id="R23fc989555e14673" /><Relationship Type="http://schemas.openxmlformats.org/officeDocument/2006/relationships/numbering" Target="/word/numbering.xml" Id="R37738c5ec0d74945" /><Relationship Type="http://schemas.openxmlformats.org/officeDocument/2006/relationships/hyperlink" Target="https://meteor.aihw.gov.au/RegistrationAuthority/5" TargetMode="External" Id="Rdde4d8c4bab5425d" /><Relationship Type="http://schemas.openxmlformats.org/officeDocument/2006/relationships/hyperlink" Target="https://www.legislation.gov.au/Series/C2004A03450" TargetMode="External" Id="R1c52c52ae58e4e43" /><Relationship Type="http://schemas.openxmlformats.org/officeDocument/2006/relationships/hyperlink" Target="https://www.legislation.gov.au/Series/C2004A03450" TargetMode="External" Id="R6a17c9c8a1644a4f" /><Relationship Type="http://schemas.openxmlformats.org/officeDocument/2006/relationships/hyperlink" Target="https://www.legislation.gov.au/Series/C2004A03712" TargetMode="External" Id="R6c854a9125b14892" /><Relationship Type="http://schemas.openxmlformats.org/officeDocument/2006/relationships/hyperlink" Target="http://www.aihw.gov.au/" TargetMode="External" Id="R95b1d9d2795c4f38" /><Relationship Type="http://schemas.openxmlformats.org/officeDocument/2006/relationships/hyperlink" Target="http://www.myhospitals.gov.au/" TargetMode="External" Id="R5d0853d4684043bf" /><Relationship Type="http://schemas.openxmlformats.org/officeDocument/2006/relationships/hyperlink" Target="http://www.aihw.gov.au/health-performance/performance-and-accountability-framework/" TargetMode="External" Id="R1c50f33972944b98" /><Relationship Type="http://schemas.openxmlformats.org/officeDocument/2006/relationships/hyperlink" Target="http://www.aihw.gov.au/hospitals/" TargetMode="External" Id="R276e1a0cf59c4407" /><Relationship Type="http://schemas.openxmlformats.org/officeDocument/2006/relationships/hyperlink" Target="https://meteor.aihw.gov.au/content/181162" TargetMode="External" Id="R90d791523be74860" /><Relationship Type="http://schemas.openxmlformats.org/officeDocument/2006/relationships/hyperlink" Target="https://meteor.aihw.gov.au/content/630047" TargetMode="External" Id="R430a9fa3e9a9418c" /><Relationship Type="http://schemas.openxmlformats.org/officeDocument/2006/relationships/hyperlink" Target="https://meteor.aihw.gov.au/content/246013" TargetMode="External" Id="R3ba5437110a7485e" /><Relationship Type="http://schemas.openxmlformats.org/officeDocument/2006/relationships/hyperlink" Target="https://meteor.aihw.gov.au/content/511883" TargetMode="External" Id="R49638ab925b64cf6" /><Relationship Type="http://schemas.openxmlformats.org/officeDocument/2006/relationships/hyperlink" Target="https://meteor.aihw.gov.au/RegistrationAuthority/5" TargetMode="External" Id="Raf16c98f3e6844c8" /><Relationship Type="http://schemas.openxmlformats.org/officeDocument/2006/relationships/hyperlink" Target="https://meteor.aihw.gov.au/content/687682" TargetMode="External" Id="R9c63d097fdff4522" /><Relationship Type="http://schemas.openxmlformats.org/officeDocument/2006/relationships/hyperlink" Target="https://meteor.aihw.gov.au/RegistrationAuthority/5" TargetMode="External" Id="R9a5f57117a0e45bd" /><Relationship Type="http://schemas.openxmlformats.org/officeDocument/2006/relationships/hyperlink" Target="https://meteor.aihw.gov.au/content/724058" TargetMode="External" Id="R075c184fb3f74fd3" /><Relationship Type="http://schemas.openxmlformats.org/officeDocument/2006/relationships/hyperlink" Target="https://meteor.aihw.gov.au/RegistrationAuthority/5" TargetMode="External" Id="R605e5a6e3f6c4d4d" /><Relationship Type="http://schemas.openxmlformats.org/officeDocument/2006/relationships/hyperlink" Target="https://meteor.aihw.gov.au/content/733574" TargetMode="External" Id="R524561cd0da549c8" /><Relationship Type="http://schemas.openxmlformats.org/officeDocument/2006/relationships/hyperlink" Target="https://meteor.aihw.gov.au/RegistrationAuthority/5" TargetMode="External" Id="R9395f85f04ac4a9d" /></Relationships>
</file>

<file path=word/_rels/header1.xml.rels>&#65279;<?xml version="1.0" encoding="utf-8"?><Relationships xmlns="http://schemas.openxmlformats.org/package/2006/relationships"><Relationship Type="http://schemas.openxmlformats.org/officeDocument/2006/relationships/image" Target="/media/image.png" Id="R7c6e5b63feac4141" /></Relationships>
</file>