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6fd0eeed6a4c2a"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46e34ba37433e">
              <w:r>
                <w:rPr>
                  <w:rStyle w:val="Hyperlink"/>
                  <w:color w:val="244061"/>
                </w:rPr>
                <w:t xml:space="preserve">AIHW Data Quality Statements</w:t>
              </w:r>
            </w:hyperlink>
            <w:r>
              <w:rPr>
                <w:rStyle w:val="row-content"/>
                <w:color w:val="244061"/>
              </w:rPr>
              <w:t xml:space="preserve">, Superseded 06/06/2018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(South Australia and Tasmania).</w:t>
            </w:r>
          </w:p>
          <w:p>
            <w:pPr>
              <w:spacing w:after="160"/>
            </w:pPr>
            <w:r>
              <w:rPr>
                <w:rStyle w:val="row-content-rich-text"/>
              </w:rPr>
              <w:t xml:space="preserve">Data are provided for PRA received during the 2015–16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Care should be taken when comparing data across states and territories, given differences in the types of PRA programs run and differences in broader state and territory housing systems.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f3e10ab36c624d2f">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db72433a66b942e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state and territory, to analyse these data sets and disseminate information and statistics.</w:t>
            </w:r>
          </w:p>
          <w:p>
            <w:pPr>
              <w:spacing w:after="160"/>
            </w:pPr>
            <w:r>
              <w:rPr>
                <w:rStyle w:val="row-content-rich-text"/>
              </w:rPr>
              <w:t xml:space="preserve">The </w:t>
            </w:r>
            <w:hyperlink w:history="true" r:id="Rd300e8324deb4355">
              <w:r>
                <w:rPr>
                  <w:rStyle w:val="Hyperlink"/>
                  <w:i/>
                </w:rPr>
                <w:t xml:space="preserve">Australian Institute of Health and Welfare Act 1987</w:t>
              </w:r>
            </w:hyperlink>
            <w:r>
              <w:rPr>
                <w:rStyle w:val="row-content-rich-text"/>
              </w:rPr>
              <w:t xml:space="preserve">, in conjunction with compliance to the </w:t>
            </w:r>
            <w:hyperlink w:history="true" r:id="R28d590b7cff9484a">
              <w:r>
                <w:rPr>
                  <w:rStyle w:val="Hyperlink"/>
                  <w:i/>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5367cfc9ae74a98">
              <w:r>
                <w:rPr>
                  <w:rStyle w:val="Hyperlink"/>
                </w:rPr>
                <w:t xml:space="preserve">www.aihw.gov.au</w:t>
              </w:r>
            </w:hyperlink>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6590d61ea1874cac">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e98eec59c7ca4554">
              <w:r>
                <w:rPr>
                  <w:rStyle w:val="Hyperlink"/>
                </w:rPr>
                <w:t xml:space="preserve">https://datarequest.aihw.gov.au</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the Digital &amp; Media Communications Unit on (02) 6244 1026 or via email to </w:t>
            </w:r>
            <w:hyperlink w:history="true" r:id="R32f62187653f4a4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5d76386dacc24584">
              <w:r>
                <w:rPr>
                  <w:rStyle w:val="Hyperlink"/>
                  <w:i/>
                </w:rPr>
                <w:t xml:space="preserve">National housing and homelessness data dictionary</w:t>
              </w:r>
            </w:hyperlink>
            <w:r>
              <w:rPr>
                <w:rStyle w:val="row-content-rich-text"/>
              </w:rPr>
              <w:t xml:space="preserve"> (AIHW Cat no. HOU269).</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p>
            <w:pPr/>
            <w:r>
              <w:rPr>
                <w:rStyle w:val="row-content-rich-text"/>
              </w:rPr>
              <w:t xml:space="preserve">The collection excludes non-financial assistance, for example, tenancy support services and tenancy guarantees.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Care should be taken in interpreting the number of households assisted. Some households received multiple types of private rent assistance. These households are counted for each type of assistance received.</w:t>
            </w:r>
          </w:p>
          <w:p>
            <w:pPr>
              <w:pStyle w:val="ListParagraph"/>
              <w:numPr>
                <w:ilvl w:val="0"/>
                <w:numId w:val="5"/>
              </w:numPr>
            </w:pPr>
            <w:r>
              <w:rPr>
                <w:rStyle w:val="row-content-rich-text"/>
              </w:rPr>
              <w:t xml:space="preserve">Information about Indigenous status of the household is not collected for some programs within the PRA collection. Approximately 4% of households recorded in the 2015–16 collection had an unknown Indigenous status. </w:t>
            </w:r>
          </w:p>
          <w:p>
            <w:pPr>
              <w:pStyle w:val="ListParagraph"/>
              <w:numPr>
                <w:ilvl w:val="0"/>
                <w:numId w:val="5"/>
              </w:numPr>
            </w:pPr>
            <w:r>
              <w:rPr>
                <w:rStyle w:val="row-content-rich-text"/>
              </w:rPr>
              <w:t xml:space="preserve">Caution is also advised when reviewing Indigenous status of the household. Households receiving more than one type of assistance may report different Indigenous statuses.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6"/>
              </w:numPr>
            </w:pPr>
            <w:r>
              <w:rPr>
                <w:rStyle w:val="row-content-rich-text"/>
              </w:rPr>
              <w:t xml:space="preserve">From 2015–16, Indigenous status of the household is required to be collected from all PRA recipients. This has led to better identification of Indigenous clients.</w:t>
            </w:r>
          </w:p>
          <w:p>
            <w:pPr>
              <w:spacing w:after="160"/>
            </w:pPr>
            <w:r>
              <w:rPr>
                <w:rStyle w:val="row-content-rich-text"/>
                <w:b/>
              </w:rPr>
              <w:t xml:space="preserve">Victoria</w:t>
            </w:r>
          </w:p>
          <w:p>
            <w:pPr>
              <w:pStyle w:val="ListParagraph"/>
              <w:numPr>
                <w:ilvl w:val="0"/>
                <w:numId w:val="7"/>
              </w:numPr>
            </w:pPr>
            <w:r>
              <w:rPr>
                <w:rStyle w:val="row-content-rich-text"/>
              </w:rPr>
              <w:t xml:space="preserve">There is one instance of assistance that was provided to an interstate applicant.</w:t>
            </w:r>
          </w:p>
          <w:p>
            <w:pPr>
              <w:spacing w:after="160"/>
            </w:pPr>
            <w:r>
              <w:rPr>
                <w:rStyle w:val="row-content-rich-text"/>
                <w:b/>
              </w:rPr>
              <w:t xml:space="preserve">Western Australia</w:t>
            </w:r>
          </w:p>
          <w:p>
            <w:pPr>
              <w:pStyle w:val="ListParagraph"/>
              <w:numPr>
                <w:ilvl w:val="0"/>
                <w:numId w:val="8"/>
              </w:numPr>
            </w:pPr>
            <w:r>
              <w:rPr>
                <w:rStyle w:val="row-content-rich-text"/>
              </w:rPr>
              <w:t xml:space="preserve">A change of database system in 2014–15 to address identification of Indigenous households led to a decrease in counts for Indigenous people. Western Australia commenced correction of this issue in 2015–16. </w:t>
            </w:r>
          </w:p>
          <w:p>
            <w:pPr>
              <w:pStyle w:val="ListParagraph"/>
              <w:numPr>
                <w:ilvl w:val="0"/>
                <w:numId w:val="8"/>
              </w:numPr>
            </w:pPr>
            <w:r>
              <w:rPr>
                <w:rStyle w:val="row-content-rich-text"/>
              </w:rPr>
              <w:t xml:space="preserve">This database change also resulted in the discontinuation of data relating to current rent.</w:t>
            </w:r>
          </w:p>
          <w:p>
            <w:pPr>
              <w:spacing w:after="160"/>
            </w:pPr>
            <w:r>
              <w:rPr>
                <w:rStyle w:val="row-content-rich-text"/>
                <w:b/>
              </w:rPr>
              <w:t xml:space="preserve">South Australia</w:t>
            </w:r>
          </w:p>
          <w:p>
            <w:pPr>
              <w:pStyle w:val="ListParagraph"/>
              <w:numPr>
                <w:ilvl w:val="0"/>
                <w:numId w:val="9"/>
              </w:numPr>
            </w:pPr>
            <w:r>
              <w:rPr>
                <w:rStyle w:val="row-content-rich-text"/>
              </w:rPr>
              <w:t xml:space="preserve">Weekly rent paid is unavailable for ‘other’ assistance.</w:t>
            </w:r>
          </w:p>
          <w:p>
            <w:pPr>
              <w:pStyle w:val="ListParagraph"/>
              <w:numPr>
                <w:ilvl w:val="0"/>
                <w:numId w:val="9"/>
              </w:numPr>
            </w:pPr>
            <w:r>
              <w:rPr>
                <w:rStyle w:val="row-content-rich-text"/>
              </w:rPr>
              <w:t xml:space="preserve">Prior to 2015–16, the Indigenous status of the main applicant was reported rather than the Indigenous status of the household. Therefore, any comparisons of Indigenous data with previous years for South Australia and other states and territories should be undertaken with caution. </w:t>
            </w:r>
          </w:p>
          <w:p>
            <w:pPr>
              <w:spacing w:after="160"/>
            </w:pPr>
            <w:r>
              <w:rPr>
                <w:rStyle w:val="row-content-rich-text"/>
                <w:b/>
              </w:rPr>
              <w:t xml:space="preserve">Australian Capital Territory</w:t>
            </w:r>
          </w:p>
          <w:p>
            <w:pPr>
              <w:pStyle w:val="ListParagraph"/>
              <w:numPr>
                <w:ilvl w:val="0"/>
                <w:numId w:val="10"/>
              </w:numPr>
            </w:pPr>
            <w:r>
              <w:rPr>
                <w:rStyle w:val="row-content-rich-text"/>
              </w:rPr>
              <w:t xml:space="preserve">Households that receive bond loan assistance also receive relocation expenses to assist with relocation, utility costs and other start up housing costs. Currently, the amount for relocation expenses is set at $100 per household. Bond loan assistance and relocation expenses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11"/>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11"/>
              </w:numPr>
            </w:pPr>
            <w:r>
              <w:rPr>
                <w:rStyle w:val="row-content-rich-text"/>
              </w:rPr>
              <w:t xml:space="preserve">Victoria and Queensland—at 30 June.</w:t>
            </w:r>
          </w:p>
          <w:p>
            <w:pPr>
              <w:spacing w:after="160"/>
            </w:pPr>
            <w:r>
              <w:rPr>
                <w:rStyle w:val="row-content-rich-text"/>
              </w:rPr>
              <w:t xml:space="preserve">The weekly rent is at time of application with the following exceptions:</w:t>
            </w:r>
          </w:p>
          <w:p>
            <w:pPr>
              <w:pStyle w:val="ListParagraph"/>
              <w:numPr>
                <w:ilvl w:val="0"/>
                <w:numId w:val="12"/>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2"/>
              </w:numPr>
            </w:pPr>
            <w:r>
              <w:rPr>
                <w:rStyle w:val="row-content-rich-text"/>
              </w:rPr>
              <w:t xml:space="preserve">Queensland—at 30 June.</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3"/>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3"/>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is not comparable with the data from 2010–11 and earlier reference periods.</w:t>
            </w:r>
          </w:p>
          <w:p>
            <w:pPr>
              <w:spacing w:after="160"/>
            </w:pPr>
            <w:r>
              <w:rPr>
                <w:rStyle w:val="row-content-rich-text"/>
                <w:b/>
              </w:rPr>
              <w:t xml:space="preserve">Victoria</w:t>
            </w:r>
          </w:p>
          <w:p>
            <w:pPr>
              <w:pStyle w:val="ListParagraph"/>
              <w:numPr>
                <w:ilvl w:val="0"/>
                <w:numId w:val="14"/>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spacing w:after="160"/>
            </w:pPr>
            <w:r>
              <w:rPr>
                <w:rStyle w:val="row-content-rich-text"/>
                <w:b/>
              </w:rPr>
              <w:t xml:space="preserve">Queensland</w:t>
            </w:r>
          </w:p>
          <w:p>
            <w:pPr>
              <w:pStyle w:val="ListParagraph"/>
              <w:numPr>
                <w:ilvl w:val="0"/>
                <w:numId w:val="15"/>
              </w:numPr>
            </w:pPr>
            <w:r>
              <w:rPr>
                <w:rStyle w:val="row-content-rich-text"/>
              </w:rPr>
              <w:t xml:space="preserve">The increase in the number of instances of assistance provided to households with a principal household income source of other allowances for students and the unemployed may be the result of more accurate recording of income types.</w:t>
            </w:r>
          </w:p>
          <w:p>
            <w:pPr>
              <w:pStyle w:val="ListParagraph"/>
              <w:numPr>
                <w:ilvl w:val="0"/>
                <w:numId w:val="15"/>
              </w:numPr>
            </w:pPr>
            <w:r>
              <w:rPr>
                <w:rStyle w:val="row-content-rich-text"/>
              </w:rPr>
              <w:t xml:space="preserve">The reduction in the number of households with income source as ‘other’ is likely to be due to improved recording of income types.</w:t>
            </w:r>
          </w:p>
          <w:p>
            <w:pPr>
              <w:spacing w:after="160"/>
            </w:pPr>
            <w:r>
              <w:rPr>
                <w:rStyle w:val="row-content-rich-text"/>
                <w:b/>
              </w:rPr>
              <w:t xml:space="preserve">Western Australia</w:t>
            </w:r>
          </w:p>
          <w:p>
            <w:pPr>
              <w:pStyle w:val="ListParagraph"/>
              <w:numPr>
                <w:ilvl w:val="0"/>
                <w:numId w:val="16"/>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6"/>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pStyle w:val="ListParagraph"/>
              <w:numPr>
                <w:ilvl w:val="0"/>
                <w:numId w:val="16"/>
              </w:numPr>
            </w:pPr>
            <w:r>
              <w:rPr>
                <w:rStyle w:val="row-content-rich-text"/>
              </w:rPr>
              <w:t xml:space="preserve">The number of households that did not experience rental stress increased in 2014–15 due to changes in market rent. Increased property vacancies resulted in a reduction of market rents. This continued in 2015–16 as Western Australia still has high vacancy rates and resulting lower market rents than in 2013–14.</w:t>
            </w:r>
          </w:p>
          <w:p>
            <w:pPr>
              <w:spacing w:after="160"/>
            </w:pPr>
            <w:r>
              <w:rPr>
                <w:rStyle w:val="row-content-rich-text"/>
                <w:b/>
              </w:rPr>
              <w:t xml:space="preserve">South Australia</w:t>
            </w:r>
          </w:p>
          <w:p>
            <w:pPr>
              <w:pStyle w:val="ListParagraph"/>
              <w:numPr>
                <w:ilvl w:val="0"/>
                <w:numId w:val="17"/>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 </w:t>
            </w:r>
          </w:p>
          <w:p>
            <w:pPr>
              <w:pStyle w:val="ListParagraph"/>
              <w:numPr>
                <w:ilvl w:val="0"/>
                <w:numId w:val="17"/>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For the 2014–15 reporting period, gross income details are not known for all households. Household income is assessable income only. Caution should be exercised when interpreting data for households experiencing housing stress.</w:t>
            </w:r>
          </w:p>
          <w:p>
            <w:pPr>
              <w:pStyle w:val="ListParagraph"/>
              <w:numPr>
                <w:ilvl w:val="0"/>
                <w:numId w:val="18"/>
              </w:numPr>
            </w:pPr>
            <w:r>
              <w:rPr>
                <w:rStyle w:val="row-content-rich-text"/>
              </w:rPr>
              <w:t xml:space="preserve">Historically, households with an income of ‘wages’ were recorded as ‘not stated/inadequately described’ for income type. In order to improve data quality (and reduce the number of households falling into the ‘not stated/inadequately described’ category), these particular households were recorded as ‘employee cash income’ for income type for the 2014–15 reporting period. Therefore, data for income type for 2014–15 and 2013–14 reference periods are not comparable with the data from previous years.</w:t>
            </w:r>
          </w:p>
          <w:p>
            <w:pPr>
              <w:spacing w:after="160"/>
            </w:pPr>
            <w:r>
              <w:rPr>
                <w:rStyle w:val="row-content-rich-text"/>
                <w:b/>
              </w:rPr>
              <w:t xml:space="preserve">Northern Territory</w:t>
            </w:r>
          </w:p>
          <w:p>
            <w:pPr>
              <w:pStyle w:val="ListParagraph"/>
              <w:numPr>
                <w:ilvl w:val="0"/>
                <w:numId w:val="19"/>
              </w:numPr>
            </w:pPr>
            <w:r>
              <w:rPr>
                <w:rStyle w:val="row-content-rich-text"/>
              </w:rPr>
              <w:t xml:space="preserve">In December 2014, the Northern Territory changed their rental grant program. Instead of providing a 2 week rental grant for approved clients only, an additional 2 week rental subsidy, as part of bond assistance, was provided. Thus, care is advised when reviewing data for 2014–15 with that of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dbba0a9a54f6f">
              <w:r>
                <w:rPr>
                  <w:rStyle w:val="Hyperlink"/>
                </w:rPr>
                <w:t xml:space="preserve">Private Rent Assistance Collection, 2014-15; Quality Statement</w:t>
              </w:r>
            </w:hyperlink>
          </w:p>
          <w:p>
            <w:pPr>
              <w:spacing w:before="0" w:after="0"/>
            </w:pPr>
            <w:r>
              <w:rPr>
                <w:rStyle w:val="row-content"/>
                <w:color w:val="244061"/>
              </w:rPr>
              <w:t xml:space="preserve">       </w:t>
            </w:r>
            <w:hyperlink w:history="true" r:id="R5bb62743c0744bcc">
              <w:r>
                <w:rPr>
                  <w:rStyle w:val="Hyperlink"/>
                  <w:color w:val="244061"/>
                </w:rPr>
                <w:t xml:space="preserve">AIHW Data Quality Statements</w:t>
              </w:r>
            </w:hyperlink>
            <w:r>
              <w:rPr>
                <w:rStyle w:val="row-content"/>
                <w:color w:val="244061"/>
              </w:rPr>
              <w:t xml:space="preserve">, Superseded 24/05/2017</w:t>
            </w:r>
          </w:p>
          <w:p>
            <w:r>
              <w:br/>
            </w:r>
            <w:r>
              <w:rPr>
                <w:rStyle w:val="row-content"/>
              </w:rPr>
              <w:t xml:space="preserve">Has been superseded by </w:t>
            </w:r>
            <w:hyperlink w:history="true" r:id="Rce3574dcf6c844a3">
              <w:r>
                <w:rPr>
                  <w:rStyle w:val="Hyperlink"/>
                </w:rPr>
                <w:t xml:space="preserve">Private Rent Assistance Collection, 2016–17; Quality Statement</w:t>
              </w:r>
            </w:hyperlink>
          </w:p>
          <w:p>
            <w:pPr>
              <w:spacing w:before="0" w:after="0"/>
            </w:pPr>
            <w:r>
              <w:rPr>
                <w:rStyle w:val="row-content"/>
                <w:color w:val="244061"/>
              </w:rPr>
              <w:t xml:space="preserve">       </w:t>
            </w:r>
            <w:hyperlink w:history="true" r:id="R1a9db7f39b1c4316">
              <w:r>
                <w:rPr>
                  <w:rStyle w:val="Hyperlink"/>
                  <w:color w:val="244061"/>
                </w:rPr>
                <w:t xml:space="preserve">AIHW Data Quality Statements</w:t>
              </w:r>
            </w:hyperlink>
            <w:r>
              <w:rPr>
                <w:rStyle w:val="row-content"/>
                <w:color w:val="244061"/>
              </w:rPr>
              <w:t xml:space="preserve">, Superseded 28/03/2019</w:t>
            </w:r>
          </w:p>
          <w:p>
            <w:r>
              <w:br/>
            </w:r>
          </w:p>
        </w:tc>
      </w:tr>
    </w:tbl>
    <w:p>
      <w:r>
        <w:br/>
      </w:r>
    </w:p>
    <w:sectPr>
      <w:footerReference xmlns:r="http://schemas.openxmlformats.org/officeDocument/2006/relationships" w:type="default" r:id="Ra61fb40f46cd4d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662639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e8a7fa20ab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fb40f46cd4d3d" /><Relationship Type="http://schemas.openxmlformats.org/officeDocument/2006/relationships/header" Target="/word/header1.xml" Id="Rc3cbb43f01f0476b" /><Relationship Type="http://schemas.openxmlformats.org/officeDocument/2006/relationships/settings" Target="/word/settings.xml" Id="R4e150b58c76e4cfe" /><Relationship Type="http://schemas.openxmlformats.org/officeDocument/2006/relationships/styles" Target="/word/styles.xml" Id="Rb3f9f33da0e0482d" /><Relationship Type="http://schemas.openxmlformats.org/officeDocument/2006/relationships/hyperlink" Target="https://meteor.aihw.gov.au/RegistrationAuthority/5" TargetMode="External" Id="R45546e34ba37433e" /><Relationship Type="http://schemas.openxmlformats.org/officeDocument/2006/relationships/numbering" Target="/word/numbering.xml" Id="R318ff65b0e8747f9" /><Relationship Type="http://schemas.openxmlformats.org/officeDocument/2006/relationships/hyperlink" Target="https://www.legislation.gov.au/Series/C2004A03450" TargetMode="External" Id="Rf3e10ab36c624d2f" /><Relationship Type="http://schemas.openxmlformats.org/officeDocument/2006/relationships/hyperlink" Target="http://www.aihw.gov.au/aihw-board/" TargetMode="External" Id="Rdb72433a66b942e5" /><Relationship Type="http://schemas.openxmlformats.org/officeDocument/2006/relationships/hyperlink" Target="https://www.legislation.gov.au/Series/C2004A03450" TargetMode="External" Id="Rd300e8324deb4355" /><Relationship Type="http://schemas.openxmlformats.org/officeDocument/2006/relationships/hyperlink" Target="https://www.legislation.gov.au/Details/C2011C00503" TargetMode="External" Id="R28d590b7cff9484a" /><Relationship Type="http://schemas.openxmlformats.org/officeDocument/2006/relationships/hyperlink" Target="http://www.aihw.gov.au/" TargetMode="External" Id="R75367cfc9ae74a98" /><Relationship Type="http://schemas.openxmlformats.org/officeDocument/2006/relationships/hyperlink" Target="http://www.aihw.gov.au/housing-assistance/" TargetMode="External" Id="R6590d61ea1874cac" /><Relationship Type="http://schemas.openxmlformats.org/officeDocument/2006/relationships/hyperlink" Target="https://datarequest.aihw.gov.au/" TargetMode="External" Id="Re98eec59c7ca4554" /><Relationship Type="http://schemas.openxmlformats.org/officeDocument/2006/relationships/hyperlink" Target="mailto:info@aihw.gov.au" TargetMode="External" Id="R32f62187653f4a42" /><Relationship Type="http://schemas.openxmlformats.org/officeDocument/2006/relationships/hyperlink" Target="http://www.aihw.gov.au/publication-detail/?id=60129543695" TargetMode="External" Id="R5d76386dacc24584" /><Relationship Type="http://schemas.openxmlformats.org/officeDocument/2006/relationships/hyperlink" Target="https://meteor.aihw.gov.au/content/627461" TargetMode="External" Id="R41ddbba0a9a54f6f" /><Relationship Type="http://schemas.openxmlformats.org/officeDocument/2006/relationships/hyperlink" Target="https://meteor.aihw.gov.au/RegistrationAuthority/5" TargetMode="External" Id="R5bb62743c0744bcc" /><Relationship Type="http://schemas.openxmlformats.org/officeDocument/2006/relationships/hyperlink" Target="https://meteor.aihw.gov.au/content/677812" TargetMode="External" Id="Rce3574dcf6c844a3" /><Relationship Type="http://schemas.openxmlformats.org/officeDocument/2006/relationships/hyperlink" Target="https://meteor.aihw.gov.au/RegistrationAuthority/5" TargetMode="External" Id="R1a9db7f39b1c4316" /></Relationships>
</file>

<file path=word/_rels/header1.xml.rels>&#65279;<?xml version="1.0" encoding="utf-8"?><Relationships xmlns="http://schemas.openxmlformats.org/package/2006/relationships"><Relationship Type="http://schemas.openxmlformats.org/officeDocument/2006/relationships/image" Target="/media/image.png" Id="Rf1e8a7fa20ab417f" /></Relationships>
</file>