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752c7736454a6c"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fdb54436f4c7d">
              <w:r>
                <w:rPr>
                  <w:rStyle w:val="Hyperlink"/>
                  <w:color w:val="244061"/>
                </w:rPr>
                <w:t xml:space="preserve">AIHW Data Quality Statements</w:t>
              </w:r>
            </w:hyperlink>
            <w:r>
              <w:rPr>
                <w:rStyle w:val="row-content"/>
                <w:color w:val="244061"/>
              </w:rPr>
              <w:t xml:space="preserve">, Superseded 06/06/2018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and the Northern Territory and formerly by New South Wales, Victoria and the Australian Capital Territory)</w:t>
            </w:r>
          </w:p>
          <w:p>
            <w:pPr>
              <w:pStyle w:val="ListParagraph"/>
              <w:numPr>
                <w:ilvl w:val="0"/>
                <w:numId w:val="2"/>
              </w:numPr>
            </w:pPr>
            <w:r>
              <w:rPr>
                <w:rStyle w:val="row-content-rich-text"/>
              </w:rPr>
              <w:t xml:space="preserve">deposit assistance (Western Australia and Tasmania and formerly by Queensland)</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(Victoria, Queensland and the Australian Capital Territory and formerly New South Wales)</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 number of households that received HPA during the 2015–16 financial year and repayable forms of HPA received prior to the 2015–16 financial year for which monies remain outstanding at the commencement of the 2015–16 financial year. Data are also reported for the value of HPA received during the 2015–16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3"/>
              </w:numPr>
            </w:pPr>
            <w:r>
              <w:rPr>
                <w:rStyle w:val="row-content-rich-text"/>
              </w:rPr>
              <w:t xml:space="preserve">Care should be taken when comparing data across states and territories, given differences in the types of HPA programs and differences in the broader state and territory housing systems.</w:t>
            </w:r>
          </w:p>
          <w:p>
            <w:pPr>
              <w:pStyle w:val="ListParagraph"/>
              <w:numPr>
                <w:ilvl w:val="0"/>
                <w:numId w:val="3"/>
              </w:numPr>
            </w:pPr>
            <w:r>
              <w:rPr>
                <w:rStyle w:val="row-content-rich-text"/>
              </w:rPr>
              <w:t xml:space="preserve">Care should also be taken when comparing data across time due to changes in the underlying HPA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7260bd575ac4677">
              <w:r>
                <w:rPr>
                  <w:rStyle w:val="Hyperlink"/>
                  <w:i/>
                </w:rPr>
                <w:t xml:space="preserve">Australian Institute of Health and Welfare Act 1987</w:t>
              </w:r>
            </w:hyperlink>
            <w:hyperlink w:history="true" r:id="R6d0357d6eb304a4a">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4c46c23968ad4d6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state and territory, to analyse these data sets and disseminate information and statistics.</w:t>
            </w:r>
          </w:p>
          <w:p>
            <w:pPr>
              <w:spacing w:after="160"/>
            </w:pPr>
            <w:r>
              <w:rPr>
                <w:rStyle w:val="row-content-rich-text"/>
              </w:rPr>
              <w:t xml:space="preserve">The </w:t>
            </w:r>
            <w:hyperlink w:history="true" r:id="Rb5fb97dee00643a4">
              <w:r>
                <w:rPr>
                  <w:rStyle w:val="Hyperlink"/>
                  <w:i/>
                </w:rPr>
                <w:t xml:space="preserve">Australian Institute of Health and Welfare Act 1987</w:t>
              </w:r>
            </w:hyperlink>
            <w:r>
              <w:rPr>
                <w:rStyle w:val="row-content-rich-text"/>
              </w:rPr>
              <w:t xml:space="preserve">, in conjunction with compliance to the </w:t>
            </w:r>
            <w:hyperlink w:history="true" r:id="Rfc9165f4f8a44a65">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7e81bd4a755421b">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f5ad67fd87cc484d">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2afad2fce23a4ba1">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ec83ef98b22d4a2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9a67d36da29d449a">
              <w:r>
                <w:rPr>
                  <w:rStyle w:val="Hyperlink"/>
                  <w:i/>
                </w:rPr>
                <w:t xml:space="preserve">National housing and homelessness data dictionary</w:t>
              </w:r>
            </w:hyperlink>
            <w:r>
              <w:rPr>
                <w:rStyle w:val="row-content-rich-text"/>
              </w:rPr>
              <w:t xml:space="preserve"> (AIHW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4"/>
              </w:numPr>
            </w:pPr>
            <w:r>
              <w:rPr>
                <w:rStyle w:val="row-content-rich-text"/>
              </w:rPr>
              <w:t xml:space="preserve">direct lending (including government loans, shared equity loans and bridging loans)</w:t>
            </w:r>
          </w:p>
          <w:p>
            <w:pPr>
              <w:pStyle w:val="ListParagraph"/>
              <w:numPr>
                <w:ilvl w:val="0"/>
                <w:numId w:val="4"/>
              </w:numPr>
            </w:pPr>
            <w:r>
              <w:rPr>
                <w:rStyle w:val="row-content-rich-text"/>
              </w:rPr>
              <w:t xml:space="preserve">deposit assistance</w:t>
            </w:r>
          </w:p>
          <w:p>
            <w:pPr>
              <w:pStyle w:val="ListParagraph"/>
              <w:numPr>
                <w:ilvl w:val="0"/>
                <w:numId w:val="4"/>
              </w:numPr>
            </w:pPr>
            <w:r>
              <w:rPr>
                <w:rStyle w:val="row-content-rich-text"/>
              </w:rPr>
              <w:t xml:space="preserve">interest rate assistance</w:t>
            </w:r>
          </w:p>
          <w:p>
            <w:pPr>
              <w:pStyle w:val="ListParagraph"/>
              <w:numPr>
                <w:ilvl w:val="0"/>
                <w:numId w:val="4"/>
              </w:numPr>
            </w:pPr>
            <w:r>
              <w:rPr>
                <w:rStyle w:val="row-content-rich-text"/>
              </w:rPr>
              <w:t xml:space="preserve">mortgage relief and</w:t>
            </w:r>
          </w:p>
          <w:p>
            <w:pPr>
              <w:pStyle w:val="ListParagraph"/>
              <w:numPr>
                <w:ilvl w:val="0"/>
                <w:numId w:val="4"/>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5"/>
              </w:numPr>
            </w:pPr>
            <w:r>
              <w:rPr>
                <w:rStyle w:val="row-content-rich-text"/>
              </w:rPr>
              <w:t xml:space="preserve">non-financial assistance, e.g. home purchase advisory and counselling services</w:t>
            </w:r>
          </w:p>
          <w:p>
            <w:pPr>
              <w:pStyle w:val="ListParagraph"/>
              <w:numPr>
                <w:ilvl w:val="0"/>
                <w:numId w:val="5"/>
              </w:numPr>
            </w:pPr>
            <w:r>
              <w:rPr>
                <w:rStyle w:val="row-content-rich-text"/>
              </w:rPr>
              <w:t xml:space="preserve">home renovation/maintenance services </w:t>
            </w:r>
          </w:p>
          <w:p>
            <w:pPr>
              <w:pStyle w:val="ListParagraph"/>
              <w:numPr>
                <w:ilvl w:val="0"/>
                <w:numId w:val="5"/>
              </w:numPr>
            </w:pPr>
            <w:r>
              <w:rPr>
                <w:rStyle w:val="row-content-rich-text"/>
              </w:rPr>
              <w:t xml:space="preserve">sale to tenant programs.</w:t>
            </w:r>
          </w:p>
          <w:p>
            <w:pPr/>
            <w:r>
              <w:rPr>
                <w:rStyle w:val="row-content-rich-text"/>
              </w:rPr>
              <w:t xml:space="preserve">In-scope households are those that received HPA assistance in the 2015–16 financial year, as well as those that received repayable forms of HPA provided prior to the 2015–16 financial year for which monies remain outstanding at the commencement of the 2015–16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6"/>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6"/>
              </w:numPr>
            </w:pPr>
            <w:r>
              <w:rPr>
                <w:rStyle w:val="row-content-rich-text"/>
              </w:rPr>
              <w:t xml:space="preserve">Not all states and territories collect all data items.</w:t>
            </w:r>
          </w:p>
          <w:p>
            <w:pPr>
              <w:pStyle w:val="ListParagraph"/>
              <w:numPr>
                <w:ilvl w:val="0"/>
                <w:numId w:val="6"/>
              </w:numPr>
            </w:pPr>
            <w:r>
              <w:rPr>
                <w:rStyle w:val="row-content-rich-text"/>
              </w:rPr>
              <w:t xml:space="preserve">Households may be counted multiple times within this collection. Some households received multiple types of home purchase assistance. These households are counted for each type of assistance received.</w:t>
            </w:r>
          </w:p>
          <w:p>
            <w:pPr>
              <w:pStyle w:val="ListParagraph"/>
              <w:numPr>
                <w:ilvl w:val="0"/>
                <w:numId w:val="6"/>
              </w:numPr>
            </w:pPr>
            <w:r>
              <w:rPr>
                <w:rStyle w:val="row-content-rich-text"/>
              </w:rPr>
              <w:t xml:space="preserve">Information about Indigenous status of the household is not collected for some programs within the HPA collection. Approximately 17% of all households recorded in the 2015–16 collection had an unknown Indigenous status. As a result, caution should be taken when interpreting data relating to Indigenous people.</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7"/>
              </w:numPr>
            </w:pPr>
            <w:r>
              <w:rPr>
                <w:rStyle w:val="row-content-rich-text"/>
              </w:rPr>
              <w:t xml:space="preserve">Assistance has not been offered to new applicants since 2012. All data relate to households for which monies remained outstanding at the commencement of the 2015–16 financial year.</w:t>
            </w:r>
          </w:p>
          <w:p>
            <w:pPr>
              <w:pStyle w:val="ListParagraph"/>
              <w:numPr>
                <w:ilvl w:val="0"/>
                <w:numId w:val="7"/>
              </w:numPr>
            </w:pPr>
            <w:r>
              <w:rPr>
                <w:rStyle w:val="row-content-rich-text"/>
              </w:rPr>
              <w:t xml:space="preserve">Indigenous status of the household is undercounted as it is not collected for some programs. If the programs are no longer offered to new applicants, the data are not updated to reflect the current household status.</w:t>
            </w:r>
          </w:p>
          <w:p>
            <w:pPr>
              <w:spacing w:after="160"/>
            </w:pPr>
            <w:r>
              <w:rPr>
                <w:rStyle w:val="row-content-rich-text"/>
                <w:b/>
              </w:rPr>
              <w:t xml:space="preserve">Victoria</w:t>
            </w:r>
          </w:p>
          <w:p>
            <w:pPr>
              <w:pStyle w:val="ListParagraph"/>
              <w:numPr>
                <w:ilvl w:val="0"/>
                <w:numId w:val="8"/>
              </w:numPr>
            </w:pPr>
            <w:r>
              <w:rPr>
                <w:rStyle w:val="row-content-rich-text"/>
              </w:rPr>
              <w:t xml:space="preserve">No new instances of mortgage relief were provided in 2015–16.</w:t>
            </w:r>
          </w:p>
          <w:p>
            <w:pPr>
              <w:spacing w:after="160"/>
            </w:pPr>
            <w:r>
              <w:rPr>
                <w:rStyle w:val="row-content-rich-text"/>
                <w:b/>
              </w:rPr>
              <w:t xml:space="preserve">Tasmania</w:t>
            </w:r>
          </w:p>
          <w:p>
            <w:pPr>
              <w:pStyle w:val="ListParagraph"/>
              <w:numPr>
                <w:ilvl w:val="0"/>
                <w:numId w:val="9"/>
              </w:numPr>
            </w:pPr>
            <w:r>
              <w:rPr>
                <w:rStyle w:val="row-content-rich-text"/>
              </w:rPr>
              <w:t xml:space="preserve">Tasmania offers a program called ‘Home Share’ which is a shared equity loan program for households with low to moderate income. The data for this scheme has been classified by Tasmania as ‘other assistance grants’ rather than ‘direct lending</w:t>
            </w:r>
            <w:r>
              <w:rPr>
                <w:rStyle w:val="row-content-rich-text"/>
                <w:b/>
              </w:rPr>
              <w:t xml:space="preserve">’</w:t>
            </w:r>
            <w:r>
              <w:rPr>
                <w:rStyle w:val="row-content-rich-text"/>
              </w:rPr>
              <w:t xml:space="preserve"> because it also offers assistance with fees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also been affected by changes in how HPA is reported. For example, Home Purchase Advisory and Counselling Services have been excluded from the collection since 2009–10, meaning comparisons with years prior to 2010–11 should be made with caution.</w:t>
            </w:r>
          </w:p>
          <w:p>
            <w:pPr>
              <w:spacing w:after="160"/>
            </w:pPr>
            <w:r>
              <w:rPr>
                <w:rStyle w:val="row-content-rich-text"/>
              </w:rPr>
              <w:t xml:space="preserve">The gross weekly household income is at the time of application with the following exceptions:</w:t>
            </w:r>
          </w:p>
          <w:p>
            <w:pPr>
              <w:pStyle w:val="ListParagraph"/>
              <w:numPr>
                <w:ilvl w:val="0"/>
                <w:numId w:val="10"/>
              </w:numPr>
            </w:pPr>
            <w:r>
              <w:rPr>
                <w:rStyle w:val="row-content-rich-text"/>
              </w:rPr>
              <w:t xml:space="preserve">New South Wales—data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0"/>
              </w:numPr>
            </w:pPr>
            <w:r>
              <w:rPr>
                <w:rStyle w:val="row-content-rich-text"/>
              </w:rPr>
              <w:t xml:space="preserve">Victoria—not provided.</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The direct lending program has not been offered to new applicants since 1993 and mortgage relief since 2012. Thus, overall numbers are expected to decrease over time as existing loans are paid off.</w:t>
            </w:r>
          </w:p>
          <w:p>
            <w:pPr>
              <w:pStyle w:val="ListParagraph"/>
              <w:numPr>
                <w:ilvl w:val="0"/>
                <w:numId w:val="11"/>
              </w:numPr>
            </w:pPr>
            <w:r>
              <w:rPr>
                <w:rStyle w:val="row-content-rich-text"/>
              </w:rPr>
              <w:t xml:space="preserve">Indigenous status of the household is undercounted as it is not collected for some programs. If the programs are no longer offered to new applicants, the data are not updated to reflect the current household status.</w:t>
            </w:r>
          </w:p>
          <w:p>
            <w:pPr>
              <w:spacing w:after="160"/>
            </w:pPr>
            <w:r>
              <w:rPr>
                <w:rStyle w:val="row-content-rich-text"/>
                <w:b/>
              </w:rPr>
              <w:t xml:space="preserve">Victoria</w:t>
            </w:r>
          </w:p>
          <w:p>
            <w:pPr>
              <w:pStyle w:val="ListParagraph"/>
              <w:numPr>
                <w:ilvl w:val="0"/>
                <w:numId w:val="12"/>
              </w:numPr>
            </w:pPr>
            <w:r>
              <w:rPr>
                <w:rStyle w:val="row-content-rich-text"/>
              </w:rPr>
              <w:t xml:space="preserve">The direct lending program has not been offered to new applicants since 1996. Thus, overall numbers are expected to decrease over time as existing loans are paid off.</w:t>
            </w:r>
          </w:p>
          <w:p>
            <w:pPr>
              <w:spacing w:after="160"/>
            </w:pPr>
            <w:r>
              <w:rPr>
                <w:rStyle w:val="row-content-rich-text"/>
                <w:b/>
              </w:rPr>
              <w:t xml:space="preserve">Queensland</w:t>
            </w:r>
          </w:p>
          <w:p>
            <w:pPr>
              <w:pStyle w:val="ListParagraph"/>
              <w:numPr>
                <w:ilvl w:val="0"/>
                <w:numId w:val="13"/>
              </w:numPr>
            </w:pPr>
            <w:r>
              <w:rPr>
                <w:rStyle w:val="row-content-rich-text"/>
              </w:rPr>
              <w:t xml:space="preserve">The deposit assistance program has not been offered to new applicants since 1996. Thus, overall numbers are expected to decrease over time as existing loans are paid off.</w:t>
            </w:r>
          </w:p>
          <w:p>
            <w:pPr>
              <w:spacing w:after="160"/>
            </w:pPr>
            <w:r>
              <w:rPr>
                <w:rStyle w:val="row-content-rich-text"/>
                <w:b/>
              </w:rPr>
              <w:t xml:space="preserve">Western Australia</w:t>
            </w:r>
          </w:p>
          <w:p>
            <w:pPr>
              <w:pStyle w:val="ListParagraph"/>
              <w:numPr>
                <w:ilvl w:val="0"/>
                <w:numId w:val="14"/>
              </w:numPr>
            </w:pPr>
            <w:r>
              <w:rPr>
                <w:rStyle w:val="row-content-rich-text"/>
              </w:rPr>
              <w:t xml:space="preserve">From the 2011–12 collection period, there were significant changes in how data were collected:</w:t>
            </w:r>
            <w:r>
              <w:br/>
            </w:r>
            <w:r>
              <w:rPr>
                <w:rStyle w:val="row-content-rich-text"/>
              </w:rPr>
              <w:t xml:space="preserve">        • ‘Other’ assistance reflected waived mortgage insurance on direct lending. Prior to the 2011–12 collection, ‘Other’ assistance reflected loans that funded the state’s share of equity in shared equity dwellings.</w:t>
            </w:r>
            <w:r>
              <w:br/>
            </w:r>
            <w:r>
              <w:rPr>
                <w:rStyle w:val="row-content-rich-text"/>
              </w:rPr>
              <w:t xml:space="preserve">        • The number of households assisted through direct lending reflects both households that were issued loans in the 2011–12 financial year and households that were issued loans in a previous financial year that had outstanding balances on that assistance. Prior to the 2011–12 collection, only households that were issued loans within the current financial year were reported.</w:t>
            </w:r>
            <w:r>
              <w:br/>
            </w:r>
            <w:r>
              <w:rPr>
                <w:rStyle w:val="row-content-rich-text"/>
              </w:rPr>
              <w:t xml:space="preserve">        • Households with current loans issued before October 2009 with a relatively low variable interest rate are reported as having received direct lending assistance. Prior to 2011–12, these households were reported as having received interest rate assistance.</w:t>
            </w:r>
          </w:p>
          <w:p>
            <w:pPr>
              <w:spacing w:after="160"/>
            </w:pPr>
            <w:r>
              <w:rPr>
                <w:rStyle w:val="row-content-rich-text"/>
              </w:rPr>
              <w:t xml:space="preserve">Western Australia data from previous years is thus not directly comparable to data from 2011–12 and onwards.</w:t>
            </w:r>
          </w:p>
          <w:p>
            <w:pPr>
              <w:pStyle w:val="ListParagraph"/>
              <w:numPr>
                <w:ilvl w:val="0"/>
                <w:numId w:val="15"/>
              </w:numPr>
            </w:pPr>
            <w:r>
              <w:rPr>
                <w:rStyle w:val="row-content-rich-text"/>
              </w:rPr>
              <w:t xml:space="preserve">Increase in construction lending which includes ongoing payments from 2013–14 and new settlements in 2014–15 contributed to an increase in the total value of new assistance to households receiving direct lending.</w:t>
            </w:r>
          </w:p>
          <w:p>
            <w:pPr>
              <w:pStyle w:val="ListParagraph"/>
              <w:numPr>
                <w:ilvl w:val="0"/>
                <w:numId w:val="15"/>
              </w:numPr>
            </w:pPr>
            <w:r>
              <w:rPr>
                <w:rStyle w:val="row-content-rich-text"/>
              </w:rPr>
              <w:t xml:space="preserve">In 2014–15, a larger number of households identified themselves as Indigenous than in previous years, reflecting better quality data than in previous reporting periods.</w:t>
            </w:r>
          </w:p>
          <w:p>
            <w:pPr>
              <w:spacing w:after="160"/>
            </w:pPr>
            <w:r>
              <w:rPr>
                <w:rStyle w:val="row-content-rich-text"/>
                <w:b/>
              </w:rPr>
              <w:t xml:space="preserve">South Australia</w:t>
            </w:r>
          </w:p>
          <w:p>
            <w:pPr>
              <w:pStyle w:val="ListParagraph"/>
              <w:numPr>
                <w:ilvl w:val="0"/>
                <w:numId w:val="16"/>
              </w:numPr>
            </w:pPr>
            <w:r>
              <w:rPr>
                <w:rStyle w:val="row-content-rich-text"/>
              </w:rPr>
              <w:t xml:space="preserve">From February 2014, changes were made to HomeStart Advantage Loan product with the aim of delivering interest rate assistance to more households. These changes resulted in significant increases in the total number of instances where interest rate assistance was provided and the total value of interest rate assistance provided.</w:t>
            </w:r>
          </w:p>
          <w:p>
            <w:pPr>
              <w:pStyle w:val="ListParagraph"/>
              <w:numPr>
                <w:ilvl w:val="0"/>
                <w:numId w:val="16"/>
              </w:numPr>
            </w:pPr>
            <w:r>
              <w:rPr>
                <w:rStyle w:val="row-content-rich-text"/>
              </w:rPr>
              <w:t xml:space="preserve">The changes to the HomeStart Advantage Loan product were also related to an increase in direct lending dollars, a decline in households receiving direct lending assistance, but an increase in new households with direct lending experience.</w:t>
            </w:r>
          </w:p>
          <w:p>
            <w:pPr>
              <w:spacing w:after="160"/>
            </w:pPr>
            <w:r>
              <w:rPr>
                <w:rStyle w:val="row-content-rich-text"/>
                <w:b/>
              </w:rPr>
              <w:t xml:space="preserve">Tasmania</w:t>
            </w:r>
          </w:p>
          <w:p>
            <w:pPr>
              <w:pStyle w:val="ListParagraph"/>
              <w:numPr>
                <w:ilvl w:val="0"/>
                <w:numId w:val="17"/>
              </w:numPr>
            </w:pPr>
            <w:r>
              <w:rPr>
                <w:rStyle w:val="row-content-rich-text"/>
              </w:rPr>
              <w:t xml:space="preserve">In May 2014, the Home Share scheme was relaunched with revised eligibility criteria: asset and income limits were increased to make the scheme more available to moderate income earners. Home Share also became available to public housing tenants who could afford a loan. These changes to the Home Share scheme resulted in significant increases to both the total number of households assisted and the total number of households receiving ‘other’ assistance.</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The direct lending program has not been offered to new applicants since 1996. Thus, overall numbers are expected to decrease over time as existing loans are paid off. Deferred assistance and mortgage relief programs have replaced the direct lending program.</w:t>
            </w:r>
          </w:p>
          <w:p>
            <w:pPr>
              <w:spacing w:after="160"/>
            </w:pPr>
            <w:r>
              <w:rPr>
                <w:rStyle w:val="row-content-rich-text"/>
                <w:b/>
              </w:rPr>
              <w:t xml:space="preserve">Northern Territory</w:t>
            </w:r>
          </w:p>
          <w:p>
            <w:pPr>
              <w:pStyle w:val="ListParagraph"/>
              <w:numPr>
                <w:ilvl w:val="0"/>
                <w:numId w:val="19"/>
              </w:numPr>
            </w:pPr>
            <w:r>
              <w:rPr>
                <w:rStyle w:val="row-content-rich-text"/>
              </w:rPr>
              <w:t xml:space="preserve">Caution is advised when comparing data for 2014–15 with that of previous years. Data may not be directly comparable with previous years due to:</w:t>
            </w:r>
            <w:r>
              <w:br/>
            </w:r>
            <w:r>
              <w:rPr>
                <w:rStyle w:val="row-content-rich-text"/>
              </w:rPr>
              <w:t xml:space="preserve">        • A new loan product introduced by the Northern Territory government. Through this arrangement, the People’s Credit Union (PCCU) lend the first 80% of the purchase and the Northern Territory government provides a 17.5% deposit loan.</w:t>
            </w:r>
            <w:r>
              <w:br/>
            </w:r>
            <w:r>
              <w:rPr>
                <w:rStyle w:val="row-content-rich-text"/>
              </w:rPr>
              <w:t xml:space="preserve">        • The above combined with continued levels of loans being repaid through property sales/re-finances, resulted in a net reduction in the number of households assisted.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216fd160094977">
              <w:r>
                <w:rPr>
                  <w:rStyle w:val="Hyperlink"/>
                </w:rPr>
                <w:t xml:space="preserve">Home Purchase Assistance Collection, 2014-15; Quality Statement</w:t>
              </w:r>
            </w:hyperlink>
          </w:p>
          <w:p>
            <w:pPr>
              <w:spacing w:before="0" w:after="0"/>
            </w:pPr>
            <w:r>
              <w:rPr>
                <w:rStyle w:val="row-content"/>
                <w:color w:val="244061"/>
              </w:rPr>
              <w:t xml:space="preserve">       </w:t>
            </w:r>
            <w:hyperlink w:history="true" r:id="R4e11b15bb51d431d">
              <w:r>
                <w:rPr>
                  <w:rStyle w:val="Hyperlink"/>
                  <w:color w:val="244061"/>
                </w:rPr>
                <w:t xml:space="preserve">AIHW Data Quality Statements</w:t>
              </w:r>
            </w:hyperlink>
            <w:r>
              <w:rPr>
                <w:rStyle w:val="row-content"/>
                <w:color w:val="244061"/>
              </w:rPr>
              <w:t xml:space="preserve">, Superseded 24/05/2017</w:t>
            </w:r>
          </w:p>
          <w:p>
            <w:r>
              <w:br/>
            </w:r>
            <w:r>
              <w:rPr>
                <w:rStyle w:val="row-content"/>
              </w:rPr>
              <w:t xml:space="preserve">Has been superseded by </w:t>
            </w:r>
            <w:hyperlink w:history="true" r:id="R0350aca38b8d4db6">
              <w:r>
                <w:rPr>
                  <w:rStyle w:val="Hyperlink"/>
                </w:rPr>
                <w:t xml:space="preserve">Home Purchase Assistance Collection, 2016–17; Quality Statement</w:t>
              </w:r>
            </w:hyperlink>
          </w:p>
          <w:p>
            <w:pPr>
              <w:spacing w:before="0" w:after="0"/>
            </w:pPr>
            <w:r>
              <w:rPr>
                <w:rStyle w:val="row-content"/>
                <w:color w:val="244061"/>
              </w:rPr>
              <w:t xml:space="preserve">       </w:t>
            </w:r>
            <w:hyperlink w:history="true" r:id="R689ee849c0ff4efb">
              <w:r>
                <w:rPr>
                  <w:rStyle w:val="Hyperlink"/>
                  <w:color w:val="244061"/>
                </w:rPr>
                <w:t xml:space="preserve">AIHW Data Quality Statements</w:t>
              </w:r>
            </w:hyperlink>
            <w:r>
              <w:rPr>
                <w:rStyle w:val="row-content"/>
                <w:color w:val="244061"/>
              </w:rPr>
              <w:t xml:space="preserve">, Superseded 28/03/2019</w:t>
            </w:r>
          </w:p>
          <w:p>
            <w:r>
              <w:br/>
            </w:r>
          </w:p>
        </w:tc>
      </w:tr>
    </w:tbl>
    <w:p>
      <w:r>
        <w:br/>
      </w:r>
    </w:p>
    <w:sectPr>
      <w:footerReference xmlns:r="http://schemas.openxmlformats.org/officeDocument/2006/relationships" w:type="default" r:id="R8f3aaccce000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662616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6b8074091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aaccce000464e" /><Relationship Type="http://schemas.openxmlformats.org/officeDocument/2006/relationships/header" Target="/word/header1.xml" Id="Ref7d5d1cafa6498e" /><Relationship Type="http://schemas.openxmlformats.org/officeDocument/2006/relationships/settings" Target="/word/settings.xml" Id="R0ace570f28924628" /><Relationship Type="http://schemas.openxmlformats.org/officeDocument/2006/relationships/styles" Target="/word/styles.xml" Id="Re7b7702c119b4b6e" /><Relationship Type="http://schemas.openxmlformats.org/officeDocument/2006/relationships/hyperlink" Target="https://meteor.aihw.gov.au/RegistrationAuthority/5" TargetMode="External" Id="R02ffdb54436f4c7d" /><Relationship Type="http://schemas.openxmlformats.org/officeDocument/2006/relationships/numbering" Target="/word/numbering.xml" Id="R6ff31460cbcd45b9" /><Relationship Type="http://schemas.openxmlformats.org/officeDocument/2006/relationships/hyperlink" Target="https://www.legislation.gov.au/Series/C2004A03450" TargetMode="External" Id="Rd7260bd575ac4677" /><Relationship Type="http://schemas.openxmlformats.org/officeDocument/2006/relationships/hyperlink" Target="http://www.comlaw.gov.au/Series/C2004A03450" TargetMode="External" Id="R6d0357d6eb304a4a" /><Relationship Type="http://schemas.openxmlformats.org/officeDocument/2006/relationships/hyperlink" Target="http://www.aihw.gov.au/aihw-board/" TargetMode="External" Id="R4c46c23968ad4d6b" /><Relationship Type="http://schemas.openxmlformats.org/officeDocument/2006/relationships/hyperlink" Target="https://www.legislation.gov.au/Series/C2004A03450" TargetMode="External" Id="Rb5fb97dee00643a4" /><Relationship Type="http://schemas.openxmlformats.org/officeDocument/2006/relationships/hyperlink" Target="https://www.legislation.gov.au/Series/C2004A03712" TargetMode="External" Id="Rfc9165f4f8a44a65" /><Relationship Type="http://schemas.openxmlformats.org/officeDocument/2006/relationships/hyperlink" Target="http://www.aihw.gov.au/" TargetMode="External" Id="R57e81bd4a755421b" /><Relationship Type="http://schemas.openxmlformats.org/officeDocument/2006/relationships/hyperlink" Target="http://www.aihw.gov.au/housing-assistance/" TargetMode="External" Id="Rf5ad67fd87cc484d" /><Relationship Type="http://schemas.openxmlformats.org/officeDocument/2006/relationships/hyperlink" Target="https://datarequest.aihw.gov.au/" TargetMode="External" Id="R2afad2fce23a4ba1" /><Relationship Type="http://schemas.openxmlformats.org/officeDocument/2006/relationships/hyperlink" Target="mailto:info@aihw.gov.au" TargetMode="External" Id="Rec83ef98b22d4a2e" /><Relationship Type="http://schemas.openxmlformats.org/officeDocument/2006/relationships/hyperlink" Target="http://www.aihw.gov.au/publication-detail/?id=60129543695" TargetMode="External" Id="R9a67d36da29d449a" /><Relationship Type="http://schemas.openxmlformats.org/officeDocument/2006/relationships/hyperlink" Target="https://meteor.aihw.gov.au/content/627457" TargetMode="External" Id="R46216fd160094977" /><Relationship Type="http://schemas.openxmlformats.org/officeDocument/2006/relationships/hyperlink" Target="https://meteor.aihw.gov.au/RegistrationAuthority/5" TargetMode="External" Id="R4e11b15bb51d431d" /><Relationship Type="http://schemas.openxmlformats.org/officeDocument/2006/relationships/hyperlink" Target="https://meteor.aihw.gov.au/content/677800" TargetMode="External" Id="R0350aca38b8d4db6" /><Relationship Type="http://schemas.openxmlformats.org/officeDocument/2006/relationships/hyperlink" Target="https://meteor.aihw.gov.au/RegistrationAuthority/5" TargetMode="External" Id="R689ee849c0ff4efb" /></Relationships>
</file>

<file path=word/_rels/header1.xml.rels>&#65279;<?xml version="1.0" encoding="utf-8"?><Relationships xmlns="http://schemas.openxmlformats.org/package/2006/relationships"><Relationship Type="http://schemas.openxmlformats.org/officeDocument/2006/relationships/image" Target="/media/image.png" Id="R4946b80740914ba9" /></Relationships>
</file>