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718e99c718431b"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2015–16;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2015–16;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9be288a384822">
              <w:r>
                <w:rPr>
                  <w:rStyle w:val="Hyperlink"/>
                  <w:color w:val="244061"/>
                </w:rPr>
                <w:t xml:space="preserve">AIHW Data Quality Statements</w:t>
              </w:r>
            </w:hyperlink>
            <w:r>
              <w:rPr>
                <w:rStyle w:val="row-content"/>
                <w:color w:val="244061"/>
              </w:rPr>
              <w:t xml:space="preserve">, Standard 16/12/2016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rPr>
              <w:t xml:space="preserve">Australian Capital Territory emergency department care data for the 2015–16 reference year were not available at time of publication of the Emergency department care 2015–16: Australian hospital statistics report.</w:t>
            </w:r>
          </w:p>
          <w:p>
            <w:pPr>
              <w:pStyle w:val="ListParagraph"/>
              <w:numPr>
                <w:ilvl w:val="0"/>
                <w:numId w:val="2"/>
              </w:numPr>
            </w:pPr>
            <w:r>
              <w:rPr>
                <w:rStyle w:val="row-content-rich-text"/>
              </w:rPr>
              <w:t xml:space="preserve">For 2015–16, states and territories were able to provide data for the NNAPEDCD using either the Non-admitted patient emergency department care National Minimum Data Set (NAPEDC NMDS) or the NAPEDC Data Set Specification (DSS). Queensland provided data to the NNAPEDCD using the DSS while all other states and territories provided data using the NMDS specification. Therefore, the data for Queensland may not be entirely comparable with data provided for other states and territories.</w:t>
            </w:r>
          </w:p>
          <w:p>
            <w:pPr>
              <w:pStyle w:val="ListParagraph"/>
              <w:numPr>
                <w:ilvl w:val="0"/>
                <w:numId w:val="2"/>
              </w:numPr>
            </w:pPr>
            <w:r>
              <w:rPr>
                <w:rStyle w:val="row-content-rich-text"/>
              </w:rPr>
              <w:t xml:space="preserve">For 2015–16, waiting times for care information could not be calculated for about 93,000 emergency department presentations (for which waiting times are applicable), including about 43,000 presentations for 1 Public acute group B hospital in Western Australia.</w:t>
            </w:r>
          </w:p>
          <w:p>
            <w:pPr>
              <w:pStyle w:val="ListParagraph"/>
              <w:numPr>
                <w:ilvl w:val="0"/>
                <w:numId w:val="2"/>
              </w:numPr>
            </w:pPr>
            <w:r>
              <w:rPr>
                <w:rStyle w:val="row-content-rich-text"/>
              </w:rPr>
              <w:t xml:space="preserve">For 2015–16, the length of emergency department stay could not be calculated for about 6,600 emergency department presentations, mostly in New South Wales.</w:t>
            </w:r>
          </w:p>
          <w:p>
            <w:pPr>
              <w:pStyle w:val="ListParagraph"/>
              <w:numPr>
                <w:ilvl w:val="0"/>
                <w:numId w:val="2"/>
              </w:numPr>
            </w:pPr>
            <w:r>
              <w:rPr>
                <w:rStyle w:val="row-content-rich-text"/>
              </w:rPr>
              <w:t xml:space="preserve">The scope of the NAPEDC NMDS changed between 2012–13 and 2013–14.</w:t>
            </w:r>
          </w:p>
          <w:p>
            <w:pPr>
              <w:pStyle w:val="ListParagraph"/>
              <w:numPr>
                <w:ilvl w:val="0"/>
                <w:numId w:val="2"/>
              </w:numPr>
            </w:pPr>
            <w:r>
              <w:rPr>
                <w:rStyle w:val="row-content-rich-text"/>
              </w:rPr>
              <w:t xml:space="preserve">Changes in data set specifications in the second half of 2011–12 may affect the comparability of these data with data for other reporting periods.</w:t>
            </w:r>
          </w:p>
          <w:p>
            <w:pPr>
              <w:pStyle w:val="ListParagraph"/>
              <w:numPr>
                <w:ilvl w:val="0"/>
                <w:numId w:val="3"/>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w:t>
            </w:r>
          </w:p>
          <w:p>
            <w:pPr>
              <w:pStyle w:val="ListParagraph"/>
              <w:numPr>
                <w:ilvl w:val="0"/>
                <w:numId w:val="3"/>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3"/>
              </w:numPr>
            </w:pPr>
            <w:r>
              <w:rPr>
                <w:rStyle w:val="row-content-rich-text"/>
              </w:rPr>
              <w:t xml:space="preserve">A principal diagnosis was not reported for about 352,000 records.</w:t>
            </w:r>
          </w:p>
          <w:p>
            <w:pPr>
              <w:spacing w:after="160"/>
            </w:pPr>
            <w:r>
              <w:rPr>
                <w:rStyle w:val="row-content-rich-text"/>
                <w:b/>
                <w:sz w:val="30"/>
              </w:rPr>
              <w:t xml:space="preserve">Description</w:t>
            </w:r>
          </w:p>
          <w:p>
            <w:pPr>
              <w:spacing w:after="160"/>
            </w:pPr>
            <w:r>
              <w:rPr>
                <w:rStyle w:val="row-content-rich-text"/>
              </w:rPr>
              <w:t xml:space="preserve">The NNAPEDCD is a compilation of episode-level data that provides information on the care provided (including waiting times for care) for patients registered for care in emergency departments in public hospitals where the emergency department meets the following criteria:</w:t>
            </w:r>
          </w:p>
          <w:p>
            <w:pPr>
              <w:pStyle w:val="ListParagraph"/>
              <w:numPr>
                <w:ilvl w:val="0"/>
                <w:numId w:val="4"/>
              </w:numPr>
            </w:pPr>
            <w:r>
              <w:rPr>
                <w:rStyle w:val="row-content-rich-text"/>
              </w:rPr>
              <w:t xml:space="preserve">purposely designed and equipped area with designated assessment, treatment and resuscitation areas</w:t>
            </w:r>
          </w:p>
          <w:p>
            <w:pPr>
              <w:pStyle w:val="ListParagraph"/>
              <w:numPr>
                <w:ilvl w:val="0"/>
                <w:numId w:val="4"/>
              </w:numPr>
            </w:pPr>
            <w:r>
              <w:rPr>
                <w:rStyle w:val="row-content-rich-text"/>
              </w:rPr>
              <w:t xml:space="preserve">ability to provide resuscitation, stabilisation and initial management of all emergencies</w:t>
            </w:r>
          </w:p>
          <w:p>
            <w:pPr>
              <w:pStyle w:val="ListParagraph"/>
              <w:numPr>
                <w:ilvl w:val="0"/>
                <w:numId w:val="4"/>
              </w:numPr>
            </w:pPr>
            <w:r>
              <w:rPr>
                <w:rStyle w:val="row-content-rich-text"/>
              </w:rPr>
              <w:t xml:space="preserve">availability of medical staff in the hospital 24 hours a day</w:t>
            </w:r>
          </w:p>
          <w:p>
            <w:pPr>
              <w:pStyle w:val="ListParagraph"/>
              <w:numPr>
                <w:ilvl w:val="0"/>
                <w:numId w:val="4"/>
              </w:numPr>
            </w:pPr>
            <w:r>
              <w:rPr>
                <w:rStyle w:val="row-content-rich-text"/>
              </w:rPr>
              <w:t xml:space="preserve">designated emergency department nursing staff 24 hours per day 7 days per week, and a designated emergency department nursing unit manager.</w:t>
            </w:r>
          </w:p>
          <w:p>
            <w:pPr/>
            <w:r>
              <w:rPr>
                <w:rStyle w:val="row-content-rich-text"/>
              </w:rPr>
              <w:t xml:space="preserve">For the 2015–16 reference year, states and territories were able to provide data for the NNAPEDCD using either the NAPEDC NMDS specification or the NAPEDC DSS (see also 'Relevance', 'Coherence' and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9e2bbf4200b4c71">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56e9167100604d09">
              <w:r>
                <w:rPr>
                  <w:rStyle w:val="Hyperlink"/>
                </w:rPr>
                <w:t xml:space="preserve">http://www.aihw.gov.au/nhissc/</w:t>
              </w:r>
            </w:hyperlink>
          </w:p>
          <w:p>
            <w:hyperlink w:history="true" r:id="Rf1f33948ced1460a">
              <w:r>
                <w:rPr>
                  <w:rStyle w:val="Hyperlink"/>
                </w:rPr>
                <w:t xml:space="preserve">http://www.aihw.gov.au/publication-detail/?id=60129550408</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includes records for non-admitted patient emergency department service episodes between 1 July 2015 and 30 June 2016.</w:t>
            </w:r>
          </w:p>
          <w:p>
            <w:pPr/>
            <w:r>
              <w:rPr>
                <w:rStyle w:val="row-content-rich-text"/>
              </w:rPr>
              <w:t xml:space="preserve">States and territories provided a first version of the 2015–16 data to the AIHW during July and August 2016. Australian Capital Territory emergency department care data for the 2015–16 reference year were not available at time of publication of the </w:t>
            </w:r>
            <w:r>
              <w:rPr>
                <w:rStyle w:val="row-content-rich-text"/>
                <w:i/>
              </w:rPr>
              <w:t xml:space="preserve">Emergency department care 2015–16: Australian hospital statistics</w:t>
            </w:r>
            <w:r>
              <w:rPr>
                <w:rStyle w:val="row-content-rich-text"/>
              </w:rPr>
              <w:t xml:space="preserve"> report. This report was published on 17 November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(including the </w:t>
            </w:r>
            <w:r>
              <w:rPr>
                <w:rStyle w:val="row-content-rich-text"/>
                <w:i/>
              </w:rPr>
              <w:t xml:space="preserve">Australian hospital statistics</w:t>
            </w:r>
            <w:r>
              <w:rPr>
                <w:rStyle w:val="row-content-rich-text"/>
              </w:rPr>
              <w:t xml:space="preserve"> series of products with associated Excel tables) are available on the AIHW website.</w:t>
            </w:r>
          </w:p>
          <w:p>
            <w:pPr>
              <w:spacing w:after="160"/>
            </w:pPr>
            <w:r>
              <w:rPr>
                <w:rStyle w:val="row-content-rich-text"/>
              </w:rPr>
              <w:t xml:space="preserve">These products may be accessed on the AIHW website at:</w:t>
            </w:r>
          </w:p>
          <w:p>
            <w:hyperlink w:history="true" r:id="R7a9e4df97925425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DSS are published in the AIHW’s Metadata Online Registry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 </w:t>
            </w:r>
            <w:r>
              <w:rPr>
                <w:rStyle w:val="row-content-rich-text"/>
              </w:rPr>
              <w:t xml:space="preserve">can be accessed on the AIHW website at:</w:t>
            </w:r>
          </w:p>
          <w:p>
            <w:hyperlink w:history="true" r:id="R7f7acf77442b4cdd">
              <w:r>
                <w:rPr>
                  <w:rStyle w:val="Hyperlink"/>
                </w:rPr>
                <w:t xml:space="preserve">/content/index.phtml/itemId/181162</w:t>
              </w:r>
            </w:hyperlink>
          </w:p>
          <w:p>
            <w:hyperlink w:history="true" r:id="R6c860801b0084b5f">
              <w:r>
                <w:rPr>
                  <w:rStyle w:val="Hyperlink"/>
                </w:rPr>
                <w:t xml:space="preserve">http://www.aihw.gov.au/publication-detail/?id=60129550408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w:t>
            </w:r>
          </w:p>
          <w:p>
            <w:pPr>
              <w:spacing w:after="160"/>
            </w:pPr>
            <w:r>
              <w:rPr>
                <w:rStyle w:val="row-content-rich-text"/>
              </w:rPr>
              <w:t xml:space="preserve">From 2013–14, the scope of the NAPEDC NMDS (and the DSS for 2015–16) has been patients registered for care in emergency departments in public hospitals where the emergency department meets the following criteria:</w:t>
            </w:r>
          </w:p>
          <w:p>
            <w:pPr>
              <w:pStyle w:val="ListParagraph"/>
              <w:numPr>
                <w:ilvl w:val="0"/>
                <w:numId w:val="5"/>
              </w:numPr>
            </w:pPr>
            <w:r>
              <w:rPr>
                <w:rStyle w:val="row-content-rich-text"/>
              </w:rPr>
              <w:t xml:space="preserve">purposely designed and equipped area with designated assessment, treatment and resuscitation areas</w:t>
            </w:r>
          </w:p>
          <w:p>
            <w:pPr>
              <w:pStyle w:val="ListParagraph"/>
              <w:numPr>
                <w:ilvl w:val="0"/>
                <w:numId w:val="5"/>
              </w:numPr>
            </w:pPr>
            <w:r>
              <w:rPr>
                <w:rStyle w:val="row-content-rich-text"/>
              </w:rPr>
              <w:t xml:space="preserve">ability to provide resuscitation, stabilisation and initial management of all emergencies</w:t>
            </w:r>
          </w:p>
          <w:p>
            <w:pPr>
              <w:pStyle w:val="ListParagraph"/>
              <w:numPr>
                <w:ilvl w:val="0"/>
                <w:numId w:val="5"/>
              </w:numPr>
            </w:pPr>
            <w:r>
              <w:rPr>
                <w:rStyle w:val="row-content-rich-text"/>
              </w:rPr>
              <w:t xml:space="preserve">availability of medical staff in the hospital 24 hours a day</w:t>
            </w:r>
          </w:p>
          <w:p>
            <w:pPr>
              <w:pStyle w:val="ListParagraph"/>
              <w:numPr>
                <w:ilvl w:val="0"/>
                <w:numId w:val="5"/>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left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 Also excluded from the NMDS is care provided to patients in general practitioner co-located units.</w:t>
            </w:r>
          </w:p>
          <w:p>
            <w:pPr>
              <w:spacing w:after="160"/>
            </w:pPr>
            <w:r>
              <w:rPr>
                <w:rStyle w:val="row-content-rich-text"/>
              </w:rPr>
              <w:t xml:space="preserve">The following episodes are included in the NMDS, but are excluded for the DSS:</w:t>
            </w:r>
          </w:p>
          <w:p>
            <w:pPr>
              <w:pStyle w:val="ListParagraph"/>
              <w:numPr>
                <w:ilvl w:val="0"/>
                <w:numId w:val="6"/>
              </w:numPr>
            </w:pPr>
            <w:r>
              <w:rPr>
                <w:rStyle w:val="row-content-rich-text"/>
              </w:rPr>
              <w:t xml:space="preserve">where only a clerical service is provided to people supporting a pre-arranged admission</w:t>
            </w:r>
          </w:p>
          <w:p>
            <w:pPr>
              <w:pStyle w:val="ListParagraph"/>
              <w:numPr>
                <w:ilvl w:val="0"/>
                <w:numId w:val="6"/>
              </w:numPr>
            </w:pPr>
            <w:r>
              <w:rPr>
                <w:rStyle w:val="row-content-rich-text"/>
              </w:rPr>
              <w:t xml:space="preserve">where people are awaiting transit to another facility and receive no clinical care.</w:t>
            </w:r>
          </w:p>
          <w:p>
            <w:pPr>
              <w:spacing w:after="160"/>
            </w:pPr>
            <w:r>
              <w:rPr>
                <w:rStyle w:val="row-content-rich-text"/>
              </w:rPr>
              <w:t xml:space="preserve">These differences in scope are reflected in the domain values for the data elements </w:t>
            </w:r>
            <w:r>
              <w:rPr>
                <w:rStyle w:val="row-content-rich-text"/>
                <w:i/>
              </w:rPr>
              <w:t xml:space="preserve">Type of visit</w:t>
            </w:r>
            <w:r>
              <w:rPr>
                <w:rStyle w:val="row-content-rich-text"/>
              </w:rPr>
              <w:t xml:space="preserve"> and </w:t>
            </w:r>
            <w:r>
              <w:rPr>
                <w:rStyle w:val="row-content-rich-text"/>
                <w:i/>
              </w:rPr>
              <w:t xml:space="preserve">Episode end status</w:t>
            </w:r>
            <w:r>
              <w:rPr>
                <w:rStyle w:val="row-content-rich-text"/>
              </w:rPr>
              <w:t xml:space="preserve">.</w:t>
            </w:r>
          </w:p>
          <w:p>
            <w:pPr>
              <w:spacing w:after="160"/>
            </w:pPr>
            <w:r>
              <w:rPr>
                <w:rStyle w:val="row-content-rich-text"/>
              </w:rPr>
              <w:t xml:space="preserve">For 2012–13 and earlier years, the scope of the NAPEDC NMDS was non-admitted patients registered for care in emergency departments in public hospitals that were classified using the AIHW's previous peer group classification as either Peer Group A or B, in the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i/>
              </w:rPr>
              <w:t xml:space="preserve">Coverage of the NNAPEDCD</w:t>
            </w:r>
          </w:p>
          <w:p>
            <w:pPr>
              <w:spacing w:after="160"/>
            </w:pPr>
            <w:r>
              <w:rPr>
                <w:rStyle w:val="row-content-rich-text"/>
              </w:rPr>
              <w:t xml:space="preserve">For 2014–15, it is estimated that about 88% of emergency occasions of service were reported to the NNAPEDCD (based on emergency occasions of service reported to the National Public Hospital Establishments Database (NPHED) for 2013–14). For Victoria, the estimate was based on the numbers of occasions of service reported to the NPHED for 2012–13. A more accurate coverage estimate for 2015–16 is not available as the total numbers of emergency occasions of service was not reported to the NPHED for 2014–15.</w:t>
            </w:r>
          </w:p>
          <w:p>
            <w:pPr>
              <w:spacing w:after="160"/>
            </w:pPr>
            <w:r>
              <w:rPr>
                <w:rStyle w:val="row-content-rich-text"/>
              </w:rPr>
              <w:t xml:space="preserve">Coverage of the NNAPEDCD varies by remoteness area of the hospital. In 2014–15, coverage ranged from 100% of emergency occasions of service reported for hospitals in </w:t>
            </w:r>
            <w:r>
              <w:rPr>
                <w:rStyle w:val="row-content-rich-text"/>
                <w:i/>
              </w:rPr>
              <w:t xml:space="preserve">Major cities</w:t>
            </w:r>
            <w:r>
              <w:rPr>
                <w:rStyle w:val="row-content-rich-text"/>
              </w:rPr>
              <w:t xml:space="preserve"> to 18% for hospitals in </w:t>
            </w:r>
            <w:r>
              <w:rPr>
                <w:rStyle w:val="row-content-rich-text"/>
                <w:i/>
              </w:rPr>
              <w:t xml:space="preserve">Very remote</w:t>
            </w:r>
            <w:r>
              <w:rPr>
                <w:rStyle w:val="row-content-rich-text"/>
              </w:rPr>
              <w:t xml:space="preserve"> areas.</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the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Because the scope of the collection is limited to emergency departments that meet the nationally agreed criteria above, most of the data provided to the NNAPEDCD relates to emergency department care provided to people living in </w:t>
            </w:r>
            <w:r>
              <w:rPr>
                <w:rStyle w:val="row-content-rich-text"/>
                <w:i/>
              </w:rPr>
              <w:t xml:space="preserve">Major cities</w:t>
            </w:r>
            <w:r>
              <w:rPr>
                <w:rStyle w:val="row-content-rich-text"/>
              </w:rPr>
              <w:t xml:space="preserve">. Consequently, the collection may not include data for emergency services provided in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two performance indicators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b/>
              </w:rPr>
              <w:t xml:space="preserve">Variation in reporting practices</w:t>
            </w:r>
          </w:p>
          <w:p>
            <w:pPr>
              <w:spacing w:after="160"/>
            </w:pPr>
            <w:r>
              <w:rPr>
                <w:rStyle w:val="row-content-rich-text"/>
                <w:i/>
              </w:rPr>
              <w:t xml:space="preserve">Type of visit</w:t>
            </w:r>
          </w:p>
          <w:p>
            <w:pPr>
              <w:spacing w:after="160"/>
            </w:pPr>
            <w:r>
              <w:rPr>
                <w:rStyle w:val="row-content-rich-text"/>
              </w:rPr>
              <w:t xml:space="preserve">The reporting of </w:t>
            </w:r>
            <w:r>
              <w:rPr>
                <w:rStyle w:val="row-content-rich-text"/>
                <w:i/>
              </w:rPr>
              <w:t xml:space="preserve">Type of visit</w:t>
            </w:r>
            <w:r>
              <w:rPr>
                <w:rStyle w:val="row-content-rich-text"/>
              </w:rPr>
              <w:t xml:space="preserve"> by state or territory varied. Not all states and territories reported presentations for all types of visit category.</w:t>
            </w:r>
          </w:p>
          <w:p>
            <w:pPr>
              <w:spacing w:after="160"/>
            </w:pPr>
            <w:r>
              <w:rPr>
                <w:rStyle w:val="row-content-rich-text"/>
                <w:i/>
              </w:rPr>
              <w:t xml:space="preserve">Episode end status</w:t>
            </w:r>
          </w:p>
          <w:p>
            <w:pPr>
              <w:spacing w:after="160"/>
            </w:pPr>
            <w:r>
              <w:rPr>
                <w:rStyle w:val="row-content-rich-text"/>
              </w:rPr>
              <w:t xml:space="preserve">The reporting of </w:t>
            </w:r>
            <w:r>
              <w:rPr>
                <w:rStyle w:val="row-content-rich-text"/>
                <w:i/>
              </w:rPr>
              <w:t xml:space="preserve">Episode end status</w:t>
            </w:r>
            <w:r>
              <w:rPr>
                <w:rStyle w:val="row-content-rich-text"/>
              </w:rPr>
              <w:t xml:space="preserve"> by state or territory varied. South Australia did not use the </w:t>
            </w:r>
            <w:r>
              <w:rPr>
                <w:rStyle w:val="row-content-rich-text"/>
                <w:i/>
              </w:rPr>
              <w:t xml:space="preserve">Episode end status</w:t>
            </w:r>
            <w:r>
              <w:rPr>
                <w:rStyle w:val="row-content-rich-text"/>
              </w:rPr>
              <w:t xml:space="preserve"> value—</w:t>
            </w:r>
            <w:r>
              <w:rPr>
                <w:rStyle w:val="row-content-rich-text"/>
                <w:i/>
              </w:rPr>
              <w:t xml:space="preserve">Dead on arrival</w:t>
            </w:r>
            <w:r>
              <w:rPr>
                <w:rStyle w:val="row-content-rich-text"/>
              </w:rPr>
              <w:t xml:space="preserve">.</w:t>
            </w:r>
          </w:p>
          <w:p>
            <w:pPr>
              <w:spacing w:after="160"/>
            </w:pPr>
            <w:r>
              <w:rPr>
                <w:rStyle w:val="row-content-rich-text"/>
              </w:rPr>
              <w:t xml:space="preserve">Before 2012–13, New South Wales did not report against the episode end status </w:t>
            </w:r>
            <w:r>
              <w:rPr>
                <w:rStyle w:val="row-content-rich-text"/>
                <w:i/>
              </w:rPr>
              <w:t xml:space="preserve">Died in emergency department</w:t>
            </w:r>
            <w:r>
              <w:rPr>
                <w:rStyle w:val="row-content-rich-text"/>
              </w:rPr>
              <w:t xml:space="preserve"> (see 'Coherence').</w:t>
            </w:r>
          </w:p>
          <w:p>
            <w:pPr>
              <w:spacing w:after="160"/>
            </w:pPr>
            <w:r>
              <w:rPr>
                <w:rStyle w:val="row-content-rich-text"/>
                <w:i/>
              </w:rPr>
              <w:t xml:space="preserve">Waiting time</w:t>
            </w:r>
            <w:r>
              <w:rPr>
                <w:rStyle w:val="row-content-rich-text"/>
                <w:i/>
              </w:rPr>
              <w:t xml:space="preserve">to commencement of clinical care </w:t>
            </w:r>
          </w:p>
          <w:p>
            <w:pPr>
              <w:spacing w:after="160"/>
            </w:pPr>
            <w:r>
              <w:rPr>
                <w:rStyle w:val="row-content-rich-text"/>
              </w:rPr>
              <w:t xml:space="preserve">For 2015–16, a waiting time to commencement of clinical care could not be calculated for about 93,000 records (for which waiting times are applicable) due to missing or incorrect values (for example, for time of presentation or commencement of clinical care). Waiting times information could not be calculated for 1 </w:t>
            </w:r>
            <w:r>
              <w:rPr>
                <w:rStyle w:val="row-content-rich-text"/>
                <w:i/>
              </w:rPr>
              <w:t xml:space="preserve">Public acute group B hospital</w:t>
            </w:r>
            <w:r>
              <w:rPr>
                <w:rStyle w:val="row-content-rich-text"/>
              </w:rPr>
              <w:t xml:space="preserve"> in Western Australia, which reported about 43,000 emergency department presentations.</w:t>
            </w:r>
          </w:p>
          <w:p>
            <w:pPr>
              <w:spacing w:after="160"/>
            </w:pPr>
            <w:r>
              <w:rPr>
                <w:rStyle w:val="row-content-rich-text"/>
                <w:i/>
              </w:rPr>
              <w:t xml:space="preserve">Duration of clinical care</w:t>
            </w:r>
          </w:p>
          <w:p>
            <w:pPr>
              <w:spacing w:after="160"/>
            </w:pPr>
            <w:r>
              <w:rPr>
                <w:rStyle w:val="row-content-rich-text"/>
              </w:rPr>
              <w:t xml:space="preserve">Duration of clinical care could not be calculated for about 117,000 records due to missing or incorrect values (for example, for time of episode end or commencement of clinical care or time of episode end).</w:t>
            </w:r>
          </w:p>
          <w:p>
            <w:pPr>
              <w:spacing w:after="160"/>
            </w:pPr>
            <w:r>
              <w:rPr>
                <w:rStyle w:val="row-content-rich-text"/>
                <w:i/>
              </w:rPr>
              <w:t xml:space="preserve">Length of emergency department stay</w:t>
            </w:r>
          </w:p>
          <w:p>
            <w:pPr>
              <w:spacing w:after="160"/>
            </w:pPr>
            <w:r>
              <w:rPr>
                <w:rStyle w:val="row-content-rich-text"/>
              </w:rPr>
              <w:t xml:space="preserve">The length of emergency department stay could not be calculated for about 6,600 records (mostly in New South Wales) due to missing or incorrect values (for example, for time of presentation or physical departure).</w:t>
            </w:r>
          </w:p>
          <w:p>
            <w:pPr>
              <w:spacing w:after="160"/>
            </w:pPr>
            <w:r>
              <w:rPr>
                <w:rStyle w:val="row-content-rich-text"/>
                <w:i/>
              </w:rPr>
              <w:t xml:space="preserve">Diagnosis information</w:t>
            </w:r>
          </w:p>
          <w:p>
            <w:pPr>
              <w:spacing w:after="160"/>
            </w:pPr>
            <w:r>
              <w:rPr>
                <w:rStyle w:val="row-content-rich-text"/>
              </w:rPr>
              <w:t xml:space="preserve">For 2015–16, 95% of records reported to the NNAPEDCD included diagnosis information (approximately 352,000 records did not have a principal diagnosis reported). Diagnoses were reported using a variety of classifications. The majority of records (67%) were reported using one edition or another of the</w:t>
            </w:r>
            <w:r>
              <w:rPr>
                <w:rStyle w:val="row-content-rich-text"/>
                <w:i/>
              </w:rPr>
              <w:t xml:space="preserve"> International Statistical Classification of Diseases and Related Health Problems, Tenth Revision, Australian Modification</w:t>
            </w:r>
            <w:r>
              <w:rPr>
                <w:rStyle w:val="row-content-rich-text"/>
              </w:rPr>
              <w:t xml:space="preserve"> (ICD-10-AM).</w:t>
            </w:r>
          </w:p>
          <w:p>
            <w:pPr>
              <w:spacing w:after="160"/>
            </w:pPr>
            <w:r>
              <w:rPr>
                <w:rStyle w:val="row-content-rich-text"/>
              </w:rPr>
              <w:t xml:space="preserve">The quality of the information provided for emergency department principal diagnosis data has not yet been fully assessed. Therefore, these data should be interpreted with caution.</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and DSS for 2015–16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an SA2 code for all presentations. Where necessary, the AIHW mapped the supplied area of residence data for each presentation to an SA2 and then to a remoteness area category based on ABS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of usual residence of the patient, mapped to Socio-Economic Indexes for Areas (SEIFA) 2011. Where data are reported by SEIFA categories (e.g. SES quintiles) categories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coverage may affect the comparability of data for 2013–14 and subsequent years with data for other reporting periods (see ‘Relevance’).</w:t>
            </w:r>
          </w:p>
          <w:p>
            <w:pPr>
              <w:spacing w:after="160"/>
            </w:pPr>
            <w:r>
              <w:rPr>
                <w:rStyle w:val="row-content-rich-text"/>
              </w:rPr>
              <w:t xml:space="preserve">For 2015–16, Queensland provided data to the NNAPEDC using the DSS while other states and territories provided data using the NMDS specification. Therefore, the data for Queensland may not be entirely comparable with data provided for other states and territories.</w:t>
            </w:r>
          </w:p>
          <w:p>
            <w:pPr>
              <w:spacing w:after="160"/>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w:t>
            </w:r>
          </w:p>
          <w:p>
            <w:pPr>
              <w:spacing w:after="160"/>
            </w:pPr>
            <w:r>
              <w:rPr>
                <w:rStyle w:val="row-content-rich-text"/>
              </w:rPr>
              <w:t xml:space="preserve">For 2012–13 and subsequent years, remoteness area of usual residence was based on the ASGS. Before 2012–13, remoteness area of usual residence was based on the ABS’s ASGC Remoteness Structures for 2006. Therefore, comparisons of remoteness area of usual residence over time should be interpreted with caution.</w:t>
            </w:r>
          </w:p>
          <w:p>
            <w:pPr>
              <w:spacing w:after="160"/>
            </w:pPr>
            <w:r>
              <w:rPr>
                <w:rStyle w:val="row-content-rich-text"/>
              </w:rPr>
              <w:t xml:space="preserve">For 2012–13 and subsequent years, SES of area of usual residence was based on the SEIFA 2011. For the reference years prior to 2012–13, SES of area of usual residence was based on the SEIFA 2006. Therefore, comparisons of SES of area of usual residence over time should be interpreted with caution.</w:t>
            </w:r>
          </w:p>
          <w:p>
            <w:pPr/>
            <w:r>
              <w:rPr>
                <w:rStyle w:val="row-content-rich-text"/>
              </w:rPr>
              <w:t xml:space="preserve">Before 2012–13, New South Wales did not report against the episode end status </w:t>
            </w:r>
            <w:r>
              <w:rPr>
                <w:rStyle w:val="row-content-rich-text"/>
                <w:i/>
              </w:rPr>
              <w:t xml:space="preserve">Died in emergency department as a non-admitted patient</w:t>
            </w:r>
            <w:r>
              <w:rPr>
                <w:rStyle w:val="row-content-rich-text"/>
              </w:rPr>
              <w:t xml:space="preserve">. Therefore, caution should be used when making comparisons over time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b2a20af937404d">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1fbe2834485d42f9">
              <w:r>
                <w:rPr>
                  <w:rStyle w:val="Hyperlink"/>
                  <w:color w:val="244061"/>
                </w:rPr>
                <w:t xml:space="preserve">AIHW Data Quality Statements</w:t>
              </w:r>
            </w:hyperlink>
            <w:r>
              <w:rPr>
                <w:rStyle w:val="row-content"/>
                <w:color w:val="244061"/>
              </w:rPr>
              <w:t xml:space="preserve">, Superseded 16/12/2016</w:t>
            </w:r>
          </w:p>
          <w:p>
            <w:r>
              <w:br/>
            </w:r>
          </w:p>
        </w:tc>
      </w:tr>
    </w:tbl>
    <w:p>
      <w:r>
        <w:br/>
      </w:r>
    </w:p>
    <w:sectPr>
      <w:footerReference xmlns:r="http://schemas.openxmlformats.org/officeDocument/2006/relationships" w:type="default" r:id="R2377764ad801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572a5c8f3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7764ad8014676" /><Relationship Type="http://schemas.openxmlformats.org/officeDocument/2006/relationships/header" Target="/word/header1.xml" Id="Rb992587cb5a54ee5" /><Relationship Type="http://schemas.openxmlformats.org/officeDocument/2006/relationships/settings" Target="/word/settings.xml" Id="R6cd654c18d57442e" /><Relationship Type="http://schemas.openxmlformats.org/officeDocument/2006/relationships/styles" Target="/word/styles.xml" Id="R762ace13d16b48e5" /><Relationship Type="http://schemas.openxmlformats.org/officeDocument/2006/relationships/hyperlink" Target="https://meteor.aihw.gov.au/RegistrationAuthority/5" TargetMode="External" Id="R3129be288a384822" /><Relationship Type="http://schemas.openxmlformats.org/officeDocument/2006/relationships/numbering" Target="/word/numbering.xml" Id="R44f90d2df32c4586" /><Relationship Type="http://schemas.openxmlformats.org/officeDocument/2006/relationships/hyperlink" Target="http://www.aihw.gov.au" TargetMode="External" Id="Re9e2bbf4200b4c71" /><Relationship Type="http://schemas.openxmlformats.org/officeDocument/2006/relationships/hyperlink" Target="http://www.aihw.gov.au/nhissc/" TargetMode="External" Id="R56e9167100604d09" /><Relationship Type="http://schemas.openxmlformats.org/officeDocument/2006/relationships/hyperlink" Target="http://www.aihw.gov.au/publication-detail/?id=60129550408" TargetMode="External" Id="Rf1f33948ced1460a" /><Relationship Type="http://schemas.openxmlformats.org/officeDocument/2006/relationships/hyperlink" Target="http://www.aihw.gov.au/hospitals/" TargetMode="External" Id="R7a9e4df979254256" /><Relationship Type="http://schemas.openxmlformats.org/officeDocument/2006/relationships/hyperlink" Target="https://meteor.aihw.gov.au/content/181162" TargetMode="External" Id="R7f7acf77442b4cdd" /><Relationship Type="http://schemas.openxmlformats.org/officeDocument/2006/relationships/hyperlink" Target="http://www.aihw.gov.au/publication-detail/?id=60129550408" TargetMode="External" Id="R6c860801b0084b5f" /><Relationship Type="http://schemas.openxmlformats.org/officeDocument/2006/relationships/hyperlink" Target="https://meteor.aihw.gov.au/content/659668" TargetMode="External" Id="Rbeb2a20af937404d" /><Relationship Type="http://schemas.openxmlformats.org/officeDocument/2006/relationships/hyperlink" Target="https://meteor.aihw.gov.au/RegistrationAuthority/5" TargetMode="External" Id="R1fbe2834485d42f9" /></Relationships>
</file>

<file path=word/_rels/header1.xml.rels>&#65279;<?xml version="1.0" encoding="utf-8"?><Relationships xmlns="http://schemas.openxmlformats.org/package/2006/relationships"><Relationship Type="http://schemas.openxmlformats.org/officeDocument/2006/relationships/image" Target="/media/image.png" Id="R4f5572a5c8f34d84" /></Relationships>
</file>