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b782dbfa8472d"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ecb43c6f94c01">
              <w:r>
                <w:rPr>
                  <w:rStyle w:val="Hyperlink"/>
                  <w:color w:val="244061"/>
                </w:rPr>
                <w:t xml:space="preserve">AIHW Data Quality Statements</w:t>
              </w:r>
            </w:hyperlink>
            <w:r>
              <w:rPr>
                <w:rStyle w:val="row-content"/>
                <w:color w:val="244061"/>
              </w:rPr>
              <w:t xml:space="preserve">, Superseded 22/12/2017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via a survey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 survey tool managed by the AIHW. </w:t>
            </w:r>
            <w:r>
              <w:rPr>
                <w:rStyle w:val="row-content-rich-text"/>
              </w:rPr>
              <w:t xml:space="preserve">One jurisdiction, the Northern Territory, does not use the AIHW-managed survey and do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4b0dadb9bdc427a">
              <w:r>
                <w:rPr>
                  <w:rStyle w:val="Hyperlink"/>
                  <w:i/>
                </w:rPr>
                <w:t xml:space="preserve">Australian Institute of Health and Welfare Act 1987</w:t>
              </w:r>
            </w:hyperlink>
            <w:hyperlink w:history="true" r:id="R0ddb7d2674024df6">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44b1d6b2a153456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776e86a895842bc">
              <w:r>
                <w:rPr>
                  <w:rStyle w:val="Hyperlink"/>
                  <w:i/>
                </w:rPr>
                <w:t xml:space="preserve">Australian Institute of Health and Welfare Act 1987</w:t>
              </w:r>
            </w:hyperlink>
            <w:r>
              <w:rPr>
                <w:rStyle w:val="row-content-rich-text"/>
              </w:rPr>
              <w:t xml:space="preserve">, in conjunction with compliance to the </w:t>
            </w:r>
            <w:hyperlink w:history="true" r:id="Rdc50111a8f444ad2">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a5a0e483ee6490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2015–16 financial year. The collection is mostly a 30 June 2016 snapshot, but also captures 2015–16 household activity. Limited financial information from the 2014–15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54c00f1ed894a17">
              <w:r>
                <w:rPr>
                  <w:rStyle w:val="Hyperlink"/>
                  <w:i/>
                </w:rPr>
                <w:t xml:space="preserve">Housing assistance in Australia</w:t>
              </w:r>
            </w:hyperlink>
            <w:r>
              <w:rPr>
                <w:rStyle w:val="row-content-rich-text"/>
              </w:rPr>
              <w:t xml:space="preserve"> reports and the Productivity Commission's annual </w:t>
            </w:r>
            <w:hyperlink w:history="true" r:id="Rcbc5ee4fa5224ee3">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c546220dddbf4052">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60d97a1e96a748b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e5cab61758a7479f">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 owned or managed by CHOs.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supply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 </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via a survey of community housing organisations conducted by state/territory housing authorities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150 community housing organisations, 31 completed the survey tool accounting for 92% of the total dwelling portfolio. This represents a decline from the 98% coverage rate in 2014–15.</w:t>
                  </w:r>
                </w:p>
              </w:tc>
            </w:tr>
            <w:tr>
              <w:trPr/>
              <w:tc>
                <w:tcPr>
                  <w:tcW w:w="1000" w:type="pct"/>
                  <w:vAlign w:val="top"/>
                </w:tcPr>
                <w:p>
                  <w:r>
                    <w:t xml:space="preserve">Victoria</w:t>
                  </w:r>
                </w:p>
              </w:tc>
              <w:tc>
                <w:tcPr>
                  <w:tcW w:w="4000" w:type="pct"/>
                  <w:vAlign w:val="top"/>
                </w:tcPr>
                <w:p>
                  <w:r>
                    <w:t xml:space="preserve">Of the 96 community housing organisations, 80 completed the survey tool accounting for 95% of the total dwelling portfolio. This represents a decline from the 99% coverage rate in 2014–15.</w:t>
                  </w:r>
                </w:p>
              </w:tc>
            </w:tr>
            <w:tr>
              <w:trPr/>
              <w:tc>
                <w:tcPr>
                  <w:tcW w:w="1000" w:type="pct"/>
                  <w:vAlign w:val="top"/>
                </w:tcPr>
                <w:p>
                  <w:r>
                    <w:t xml:space="preserve">Queensland</w:t>
                  </w:r>
                </w:p>
              </w:tc>
              <w:tc>
                <w:tcPr>
                  <w:tcW w:w="4000" w:type="pct"/>
                  <w:vAlign w:val="top"/>
                </w:tcPr>
                <w:p>
                  <w:r>
                    <w:t xml:space="preserve">Of the 272 community housing organisations, 85 completed the survey tool accounting for 84% of the total dwelling portfolio. This is not comparable to 2014–15 due to a change in methodology.</w:t>
                  </w:r>
                </w:p>
              </w:tc>
            </w:tr>
            <w:tr>
              <w:trPr/>
              <w:tc>
                <w:tcPr>
                  <w:tcW w:w="1000" w:type="pct"/>
                  <w:vAlign w:val="top"/>
                </w:tcPr>
                <w:p>
                  <w:r>
                    <w:t xml:space="preserve">Western Australia</w:t>
                  </w:r>
                </w:p>
              </w:tc>
              <w:tc>
                <w:tcPr>
                  <w:tcW w:w="4000" w:type="pct"/>
                  <w:vAlign w:val="top"/>
                </w:tcPr>
                <w:p>
                  <w:r>
                    <w:t xml:space="preserve">Of the 32 registered community housing organisations, 29 completed the survey tool accounting for 98% of the total dwelling portfolio. This represents an increase from the 93% coverage rate in 2014–15.</w:t>
                  </w:r>
                </w:p>
              </w:tc>
            </w:tr>
            <w:tr>
              <w:trPr/>
              <w:tc>
                <w:tcPr>
                  <w:tcW w:w="1000" w:type="pct"/>
                  <w:vAlign w:val="top"/>
                </w:tcPr>
                <w:p>
                  <w:r>
                    <w:t xml:space="preserve">South Australia</w:t>
                  </w:r>
                </w:p>
              </w:tc>
              <w:tc>
                <w:tcPr>
                  <w:tcW w:w="4000" w:type="pct"/>
                  <w:vAlign w:val="top"/>
                </w:tcPr>
                <w:p>
                  <w:r>
                    <w:t xml:space="preserve">All of the 50 community housing organisations completed the survey tool covering 100% of the total dwelling portfolio. The same coverage rate was observed in 2014–15.</w:t>
                  </w:r>
                </w:p>
              </w:tc>
            </w:tr>
            <w:tr>
              <w:trPr/>
              <w:tc>
                <w:tcPr>
                  <w:tcW w:w="1000" w:type="pct"/>
                  <w:vAlign w:val="top"/>
                </w:tcPr>
                <w:p>
                  <w:r>
                    <w:t xml:space="preserve">Tasmania</w:t>
                  </w:r>
                </w:p>
              </w:tc>
              <w:tc>
                <w:tcPr>
                  <w:tcW w:w="4000" w:type="pct"/>
                  <w:vAlign w:val="top"/>
                </w:tcPr>
                <w:p>
                  <w:r>
                    <w:t xml:space="preserve">Of the 66 community housing organisations, 50 completed the survey tool accounting for 96% of the total dwelling portfolio. This represents a slight decrease from the 98% coverage rate in 2014–15.</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 covering 100% of the total dwelling portfolio. The same coverage rate was observed in 2014–15.</w:t>
                  </w:r>
                </w:p>
              </w:tc>
            </w:tr>
            <w:tr>
              <w:trPr/>
              <w:tc>
                <w:tcPr>
                  <w:tcW w:w="1000" w:type="pct"/>
                  <w:vAlign w:val="top"/>
                </w:tcPr>
                <w:p>
                  <w:r>
                    <w:t xml:space="preserve">Northern Territory</w:t>
                  </w:r>
                </w:p>
              </w:tc>
              <w:tc>
                <w:tcPr>
                  <w:tcW w:w="4000" w:type="pct"/>
                  <w:vAlign w:val="top"/>
                </w:tcPr>
                <w:p>
                  <w:r>
                    <w:t xml:space="preserve">Only administrative data was provided for 33 community housing organisations. This is a slight increase from the 32 community housing organisations that provided administrative data in 2014–15.</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Queensland, the Australian Capital Territory and the Northern Territory New South Wales reported data on NRAS properties for the first time in 2015–16.</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r>
              <w:rPr>
                <w:b/>
              </w:rPr>
              <w:t xml:space="preserve">Queensland</w:t>
            </w:r>
          </w:p>
          <w:p>
            <w:pPr>
              <w:pStyle w:val="ListParagraph"/>
              <w:numPr>
                <w:ilvl w:val="0"/>
                <w:numId w:val="5"/>
              </w:numPr>
            </w:pPr>
            <w:r>
              <w:t xml:space="preserve">Queensland provided unit record data for the first time in 2015–16. This is supplemented by aggregate administrative data for funded organisations, properties and current waitlist applications. Data prior to this is therefore not comparable as dwelling and tenancy information was provided in aggregate form only prior to 2015–16.</w:t>
            </w:r>
          </w:p>
          <w:p>
            <w:pPr>
              <w:pStyle w:val="ListParagraph"/>
              <w:numPr>
                <w:ilvl w:val="0"/>
                <w:numId w:val="5"/>
              </w:numPr>
            </w:pPr>
            <w:r>
              <w:t xml:space="preserve">Survey data are based on the response rate of approximately 84% of tenantable rental units. Where possible, Queensland uses administrative data (for example, new allocations) to supplement incomplete CHO survey data.</w:t>
            </w:r>
          </w:p>
          <w:p>
            <w:r>
              <w:rPr>
                <w:b/>
              </w:rPr>
              <w:t xml:space="preserve">Western Australia</w:t>
            </w:r>
          </w:p>
          <w:p>
            <w:pPr>
              <w:pStyle w:val="ListParagraph"/>
              <w:numPr>
                <w:ilvl w:val="0"/>
                <w:numId w:val="6"/>
              </w:numPr>
            </w:pPr>
            <w:r>
              <w:t xml:space="preserve">Care is advised when reviewing data for overcrowding due to inconsistencies in the data reported.</w:t>
            </w:r>
          </w:p>
          <w:p>
            <w:pPr>
              <w:pStyle w:val="ListParagraph"/>
              <w:numPr>
                <w:ilvl w:val="0"/>
                <w:numId w:val="6"/>
              </w:numPr>
            </w:pPr>
            <w:r>
              <w:t xml:space="preserve">Errors have occurred when Commonwealth Rent Assistance (CRA) has been considered as income and used in the calculation of rent. This issue has been compounded when CRA has not been able to be separated from either income or rent charged. While this has improved since 2014–15, some organisation still don't separate CRA from income, therefore caution should be taken when interpreting data pertaining to rent charged and gross weekly income.</w:t>
            </w:r>
          </w:p>
          <w:p>
            <w:r>
              <w:rPr>
                <w:b/>
              </w:rPr>
              <w:t xml:space="preserve">Tasmania</w:t>
            </w:r>
          </w:p>
          <w:p>
            <w:pPr>
              <w:pStyle w:val="ListParagraph"/>
              <w:numPr>
                <w:ilvl w:val="0"/>
                <w:numId w:val="7"/>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8"/>
              </w:numPr>
            </w:pPr>
            <w:r>
              <w:t xml:space="preserve">Care is advised when reviewing data for overcrowding due to inconsistencies in the data reported between CHOs.</w:t>
            </w:r>
          </w:p>
          <w:p>
            <w:pPr>
              <w:pStyle w:val="ListParagraph"/>
              <w:numPr>
                <w:ilvl w:val="0"/>
                <w:numId w:val="8"/>
              </w:numPr>
            </w:pPr>
            <w:r>
              <w:t xml:space="preserve">Integrated waitlist data are unable to differentiate between new applicants and applicants requesting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figures produced prior to 2013–14 due to a change in methodology. Low income cut-offs were revised for 2014–15 data based on ABS 2013–14 Survey of Income and Housing results. This led to substantial increases in the number of households considered to be receiving a low income. Care is therefore required when comparing 2014–15 data with previous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In 2014–15, the tenancy management of 666 public rental housing dwellings was transferred to the community housing sector with a corresponding impact on the number of households assisted.</w:t>
            </w:r>
          </w:p>
          <w:p>
            <w:pPr>
              <w:spacing w:after="160"/>
            </w:pPr>
            <w:r>
              <w:rPr>
                <w:rStyle w:val="row-content-rich-text"/>
                <w:b/>
              </w:rPr>
              <w:t xml:space="preserve">Victoria</w:t>
            </w:r>
          </w:p>
          <w:p>
            <w:pPr>
              <w:pStyle w:val="ListParagraph"/>
              <w:numPr>
                <w:ilvl w:val="0"/>
                <w:numId w:val="12"/>
              </w:numPr>
            </w:pPr>
            <w:r>
              <w:rPr>
                <w:rStyle w:val="row-content-rich-text"/>
              </w:rPr>
              <w:t xml:space="preserve">In 2014–15, the reduction in the number of CH providers was due to two organisations no longer providing CH services and one provider merging with another provider.</w:t>
            </w:r>
          </w:p>
          <w:p>
            <w:pPr>
              <w:spacing w:after="160"/>
            </w:pPr>
            <w:r>
              <w:rPr>
                <w:rStyle w:val="row-content-rich-text"/>
                <w:b/>
              </w:rPr>
              <w:t xml:space="preserve">Queensland</w:t>
            </w:r>
          </w:p>
          <w:p>
            <w:pPr>
              <w:pStyle w:val="ListParagraph"/>
              <w:numPr>
                <w:ilvl w:val="0"/>
                <w:numId w:val="13"/>
              </w:numPr>
            </w:pPr>
            <w:r>
              <w:rPr>
                <w:rStyle w:val="row-content-rich-text"/>
              </w:rPr>
              <w:t xml:space="preserve">Queensland provided unit record data for the first time in 2015–16. This is supplemented by aggregate administrative data for funded organisations, properties and current waitlist applications. Data prior to this is therefore not comparable.</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Improvements have been made to the identification of households containing a member identifying as Indigenous, and/or having a disability and/or from a non-English speaking background.</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a better identification of households with Indigenous members.</w:t>
            </w:r>
          </w:p>
          <w:p>
            <w:pPr>
              <w:spacing w:after="160"/>
            </w:pPr>
            <w:r>
              <w:rPr>
                <w:rStyle w:val="row-content-rich-text"/>
                <w:b/>
              </w:rPr>
              <w:t xml:space="preserve">South Australia</w:t>
            </w:r>
          </w:p>
          <w:p>
            <w:pPr>
              <w:pStyle w:val="ListParagraph"/>
              <w:numPr>
                <w:ilvl w:val="0"/>
                <w:numId w:val="15"/>
              </w:numPr>
            </w:pPr>
            <w:r>
              <w:rPr>
                <w:rStyle w:val="row-content-rich-text"/>
              </w:rPr>
              <w:t xml:space="preserve">In 2015–16, the number of in-scope CH dwellings increased due to the transition of about 1,000 public rental housing dwellings to the community sector.</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Prior to 2012–13, the waitlist data reported were based solely on the Community Housing Customer Register. Applicants for National Rental Affordability Scheme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As affordable housing rent setting policies are based on a discount to the market and not as a proportion of income (the norm for community housing), the inclusion of affordable housing data would tend to increase the proportion of income allocated to rent.</w:t>
            </w:r>
          </w:p>
          <w:p>
            <w:pPr>
              <w:spacing w:after="160"/>
            </w:pPr>
            <w:r>
              <w:rPr>
                <w:rStyle w:val="row-content-rich-text"/>
                <w:b/>
              </w:rPr>
              <w:t xml:space="preserve">Tasmania</w:t>
            </w:r>
          </w:p>
          <w:p>
            <w:pPr>
              <w:pStyle w:val="ListParagraph"/>
              <w:numPr>
                <w:ilvl w:val="0"/>
                <w:numId w:val="16"/>
              </w:numPr>
            </w:pPr>
            <w:r>
              <w:rPr>
                <w:rStyle w:val="row-content-rich-text"/>
              </w:rPr>
              <w:t xml:space="preserve">The number of in-scope CH dwellings increased significantly in 2013–14 and 2014–15. This was mainly due to the transition of about 3,500 public rental housing dwellings to the community sector under the Better Housing Futures program during this period.</w:t>
            </w:r>
          </w:p>
          <w:p>
            <w:pPr>
              <w:spacing w:after="160"/>
            </w:pPr>
            <w:r>
              <w:rPr>
                <w:rStyle w:val="row-content-rich-text"/>
                <w:b/>
              </w:rPr>
              <w:t xml:space="preserve">Northern Territory</w:t>
            </w:r>
          </w:p>
          <w:p>
            <w:pPr>
              <w:pStyle w:val="ListParagraph"/>
              <w:numPr>
                <w:ilvl w:val="0"/>
                <w:numId w:val="17"/>
              </w:numPr>
            </w:pPr>
            <w:r>
              <w:rPr>
                <w:rStyle w:val="row-content-rich-text"/>
              </w:rPr>
              <w:t xml:space="preserve">Changes to stock holdings changed the distribution of tenancy rental units by remoteness area.</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0fb8a52e784121">
              <w:r>
                <w:rPr>
                  <w:rStyle w:val="Hyperlink"/>
                </w:rPr>
                <w:t xml:space="preserve">Community Housing Data Collection, 2014-15; Quality Statement</w:t>
              </w:r>
            </w:hyperlink>
          </w:p>
          <w:p>
            <w:pPr>
              <w:spacing w:before="0" w:after="0"/>
            </w:pPr>
            <w:r>
              <w:rPr>
                <w:rStyle w:val="row-content"/>
                <w:color w:val="244061"/>
              </w:rPr>
              <w:t xml:space="preserve">       </w:t>
            </w:r>
            <w:hyperlink w:history="true" r:id="Rd63501c4320e4750">
              <w:r>
                <w:rPr>
                  <w:rStyle w:val="Hyperlink"/>
                  <w:color w:val="244061"/>
                </w:rPr>
                <w:t xml:space="preserve">AIHW Data Quality Statements</w:t>
              </w:r>
            </w:hyperlink>
            <w:r>
              <w:rPr>
                <w:rStyle w:val="row-content"/>
                <w:color w:val="244061"/>
              </w:rPr>
              <w:t xml:space="preserve">, Superseded 06/01/2017</w:t>
            </w:r>
          </w:p>
          <w:p>
            <w:r>
              <w:br/>
            </w:r>
            <w:r>
              <w:rPr>
                <w:rStyle w:val="row-content"/>
              </w:rPr>
              <w:t xml:space="preserve">Has been superseded by </w:t>
            </w:r>
            <w:hyperlink w:history="true" r:id="R7c7e3c180aa444e9">
              <w:r>
                <w:rPr>
                  <w:rStyle w:val="Hyperlink"/>
                </w:rPr>
                <w:t xml:space="preserve">Community Housing Data Collection, 2016–17; Quality Statement</w:t>
              </w:r>
            </w:hyperlink>
          </w:p>
          <w:p>
            <w:pPr>
              <w:spacing w:before="0" w:after="0"/>
            </w:pPr>
            <w:r>
              <w:rPr>
                <w:rStyle w:val="row-content"/>
                <w:color w:val="244061"/>
              </w:rPr>
              <w:t xml:space="preserve">       </w:t>
            </w:r>
            <w:hyperlink w:history="true" r:id="Rdb7e89d2282e48ce">
              <w:r>
                <w:rPr>
                  <w:rStyle w:val="Hyperlink"/>
                  <w:color w:val="244061"/>
                </w:rPr>
                <w:t xml:space="preserve">AIHW Data Quality Statements</w:t>
              </w:r>
            </w:hyperlink>
            <w:r>
              <w:rPr>
                <w:rStyle w:val="row-content"/>
                <w:color w:val="244061"/>
              </w:rPr>
              <w:t xml:space="preserve">, Superseded 02/01/2019</w:t>
            </w:r>
          </w:p>
          <w:p>
            <w:r>
              <w:br/>
            </w:r>
          </w:p>
        </w:tc>
      </w:tr>
    </w:tbl>
    <w:p>
      <w:r>
        <w:br/>
      </w:r>
    </w:p>
    <w:sectPr>
      <w:footerReference xmlns:r="http://schemas.openxmlformats.org/officeDocument/2006/relationships" w:type="default" r:id="R7daa1de03f1c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a5f6a61b6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a1de03f1c45c2" /><Relationship Type="http://schemas.openxmlformats.org/officeDocument/2006/relationships/header" Target="/word/header1.xml" Id="Ra18794af72c94770" /><Relationship Type="http://schemas.openxmlformats.org/officeDocument/2006/relationships/settings" Target="/word/settings.xml" Id="R76635f60e0c24f63" /><Relationship Type="http://schemas.openxmlformats.org/officeDocument/2006/relationships/styles" Target="/word/styles.xml" Id="Rc61cb0b843134ec8" /><Relationship Type="http://schemas.openxmlformats.org/officeDocument/2006/relationships/hyperlink" Target="https://meteor.aihw.gov.au/RegistrationAuthority/5" TargetMode="External" Id="R69decb43c6f94c01" /><Relationship Type="http://schemas.openxmlformats.org/officeDocument/2006/relationships/numbering" Target="/word/numbering.xml" Id="R53c6130eb0b44ef2" /><Relationship Type="http://schemas.openxmlformats.org/officeDocument/2006/relationships/hyperlink" Target="https://www.legislation.gov.au/Series/C2004A03450" TargetMode="External" Id="R14b0dadb9bdc427a" /><Relationship Type="http://schemas.openxmlformats.org/officeDocument/2006/relationships/hyperlink" Target="http://www.comlaw.gov.au/Series/C2004A03450" TargetMode="External" Id="R0ddb7d2674024df6" /><Relationship Type="http://schemas.openxmlformats.org/officeDocument/2006/relationships/hyperlink" Target="http://www.aihw.gov.au/aihw-board/" TargetMode="External" Id="R44b1d6b2a1534565" /><Relationship Type="http://schemas.openxmlformats.org/officeDocument/2006/relationships/hyperlink" Target="https://www.legislation.gov.au/Series/C2004A03450" TargetMode="External" Id="R4776e86a895842bc" /><Relationship Type="http://schemas.openxmlformats.org/officeDocument/2006/relationships/hyperlink" Target="https://www.legislation.gov.au/Series/C2004A03712" TargetMode="External" Id="Rdc50111a8f444ad2" /><Relationship Type="http://schemas.openxmlformats.org/officeDocument/2006/relationships/hyperlink" Target="http://www.aihw.gov.au/" TargetMode="External" Id="R8a5a0e483ee64907" /><Relationship Type="http://schemas.openxmlformats.org/officeDocument/2006/relationships/hyperlink" Target="http://www.aihw.gov.au/housing-assistance/" TargetMode="External" Id="R854c00f1ed894a17" /><Relationship Type="http://schemas.openxmlformats.org/officeDocument/2006/relationships/hyperlink" Target="http://www.pc.gov.au/research/ongoing/report-on-government-services" TargetMode="External" Id="Rcbc5ee4fa5224ee3" /><Relationship Type="http://schemas.openxmlformats.org/officeDocument/2006/relationships/hyperlink" Target="https://datarequest.aihw.gov.au" TargetMode="External" Id="Rc546220dddbf4052" /><Relationship Type="http://schemas.openxmlformats.org/officeDocument/2006/relationships/hyperlink" Target="mailto:info@aihw.gov.au" TargetMode="External" Id="R60d97a1e96a748b5" /><Relationship Type="http://schemas.openxmlformats.org/officeDocument/2006/relationships/hyperlink" Target="http://www.aihw.gov.au/publication-detail/?id=60129543695" TargetMode="External" Id="Re5cab61758a7479f" /><Relationship Type="http://schemas.openxmlformats.org/officeDocument/2006/relationships/hyperlink" Target="https://meteor.aihw.gov.au/content/628264" TargetMode="External" Id="R9c0fb8a52e784121" /><Relationship Type="http://schemas.openxmlformats.org/officeDocument/2006/relationships/hyperlink" Target="https://meteor.aihw.gov.au/RegistrationAuthority/5" TargetMode="External" Id="Rd63501c4320e4750" /><Relationship Type="http://schemas.openxmlformats.org/officeDocument/2006/relationships/hyperlink" Target="https://meteor.aihw.gov.au/content/677769" TargetMode="External" Id="R7c7e3c180aa444e9" /><Relationship Type="http://schemas.openxmlformats.org/officeDocument/2006/relationships/hyperlink" Target="https://meteor.aihw.gov.au/RegistrationAuthority/5" TargetMode="External" Id="Rdb7e89d2282e48ce" /></Relationships>
</file>

<file path=word/_rels/header1.xml.rels>&#65279;<?xml version="1.0" encoding="utf-8"?><Relationships xmlns="http://schemas.openxmlformats.org/package/2006/relationships"><Relationship Type="http://schemas.openxmlformats.org/officeDocument/2006/relationships/image" Target="/media/image.png" Id="R9cca5f6a61b641f5" /></Relationships>
</file>