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1a47bbf4f14af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6dea4c678249b7">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National Health Survey (NHS) and 2014–15 National Aboriginal and Torres Strait Islander Social Survey (NATSISS) were collected, processed, and published by the Australian Bureau of Statistics (ABS). The ABS operates within a framework of the </w:t>
            </w:r>
            <w:hyperlink w:history="true" r:id="Rfad326476d1f4a3e">
              <w:r>
                <w:rPr>
                  <w:rStyle w:val="Hyperlink"/>
                  <w:i/>
                </w:rPr>
                <w:t xml:space="preserve">Census and Statistics Act 1905</w:t>
              </w:r>
            </w:hyperlink>
            <w:r>
              <w:rPr>
                <w:rStyle w:val="row-content-rich-text"/>
              </w:rPr>
              <w:t xml:space="preserve">and the</w:t>
            </w:r>
            <w:hyperlink w:history="true" r:id="R7628944d5b894329">
              <w:r>
                <w:rPr>
                  <w:rStyle w:val="Hyperlink"/>
                  <w:i/>
                </w:rPr>
                <w:t xml:space="preserve">Australian Bureau of Statistics Act 1975</w:t>
              </w:r>
            </w:hyperlink>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be4c1edf7fd84f9e">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approximately every 3 years. The 2014–15 NHS was conducted between July 2014 and June 2015. The previous NHS was collected as part of the Australian Health Survey (AHS) in 2011–13. Results from the 2014–15 NHS were released in December 2015.</w:t>
            </w:r>
          </w:p>
          <w:p>
            <w:pPr/>
            <w:r>
              <w:rPr>
                <w:rStyle w:val="row-content-rich-text"/>
              </w:rPr>
              <w:t xml:space="preserve">The NATSISS is conducted approximately every 6 years. The 2014–15 NATSISS was conducted between September 2014 and June 2015. The previous NATSISS (2008) was conducted between August 2008 and April 2009. Results from the 2014–15 NATSISS were released in April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hyperlink w:history="true" r:id="R162484dfa2dd4577">
              <w:r>
                <w:rPr>
                  <w:rStyle w:val="Hyperlink"/>
                  <w:i/>
                </w:rPr>
                <w:t xml:space="preserve">National Health Survey: first results</w:t>
              </w:r>
            </w:hyperlink>
            <w:r>
              <w:rPr>
                <w:rStyle w:val="row-content-rich-text"/>
                <w:i/>
              </w:rPr>
              <w:t xml:space="preserve">, 2014–15</w:t>
            </w:r>
            <w:r>
              <w:rPr>
                <w:rStyle w:val="row-content-rich-text"/>
              </w:rPr>
              <w:t xml:space="preserve"> (ABS 2015) and </w:t>
            </w:r>
            <w:hyperlink w:history="true" r:id="R5e6c09e712b54da0">
              <w:r>
                <w:rPr>
                  <w:rStyle w:val="Hyperlink"/>
                  <w:i/>
                </w:rPr>
                <w:t xml:space="preserve">National Aboriginal and Torres Strait Islander Social Survey: 2014–15</w:t>
              </w:r>
            </w:hyperlink>
            <w:r>
              <w:rPr>
                <w:rStyle w:val="row-content-rich-text"/>
                <w:i/>
              </w:rPr>
              <w:t xml:space="preserve"> </w:t>
            </w:r>
            <w:r>
              <w:rPr>
                <w:rStyle w:val="row-content-rich-text"/>
              </w:rPr>
              <w:t xml:space="preserve">(ABS 2016) for an overview of results. Other information from these surveys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from the </w:t>
            </w:r>
            <w:hyperlink w:history="true" r:id="R04d903f1935545fb">
              <w:r>
                <w:rPr>
                  <w:rStyle w:val="Hyperlink"/>
                  <w:i/>
                </w:rPr>
                <w:t xml:space="preserve">National Health Survey: first results, 2014</w:t>
              </w:r>
            </w:hyperlink>
            <w:r>
              <w:rPr>
                <w:rStyle w:val="row-content-rich-text"/>
                <w:i/>
                <w:u w:val="single"/>
              </w:rPr>
              <w:t xml:space="preserve">–</w:t>
            </w:r>
            <w:hyperlink w:history="true" r:id="R2e90521fa9ad48d7">
              <w:r>
                <w:rPr>
                  <w:rStyle w:val="Hyperlink"/>
                  <w:i/>
                </w:rPr>
                <w:t xml:space="preserve">15</w:t>
              </w:r>
            </w:hyperlink>
            <w:r>
              <w:rPr>
                <w:rStyle w:val="row-content-rich-text"/>
              </w:rPr>
              <w:t xml:space="preserve"> (ABS 2015) and the </w:t>
            </w:r>
            <w:hyperlink w:history="true" r:id="R1eabe6910dec4b01">
              <w:r>
                <w:rPr>
                  <w:rStyle w:val="Hyperlink"/>
                  <w:i/>
                </w:rPr>
                <w:t xml:space="preserve">National Aboriginal and Torres Strait Islander Social Survey: user guide, 2014-15</w:t>
              </w:r>
            </w:hyperlink>
            <w:r>
              <w:rPr>
                <w:rStyle w:val="row-content-rich-text"/>
              </w:rPr>
              <w:t xml:space="preserve"> (ABS 2016) are available on the </w:t>
            </w:r>
            <w:hyperlink w:history="true" r:id="R920761b243f843ec">
              <w:r>
                <w:rPr>
                  <w:rStyle w:val="Hyperlink"/>
                </w:rPr>
                <w:t xml:space="preserve">ABS website</w:t>
              </w:r>
            </w:hyperlink>
            <w:r>
              <w:rPr>
                <w:rStyle w:val="row-content-rich-text"/>
              </w:rPr>
              <w:t xml:space="preserv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2014–15 NHS and 2014–15 NATSISS collected self-reported information on smoker status from persons aged 15 years and over. This refers to the smoking of tobacco, including manufactured (packet) cigarettes, roll-your-own cigarettes, cigars and pipes, but excluding chewing tobacco, electronic cigarettes (and similar)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NHS was conducted in all states and territories, excluding </w:t>
            </w:r>
            <w:r>
              <w:rPr>
                <w:rStyle w:val="row-content-rich-text"/>
                <w:i/>
              </w:rPr>
              <w:t xml:space="preserve">Very remote </w:t>
            </w:r>
            <w:r>
              <w:rPr>
                <w:rStyle w:val="row-content-rich-text"/>
              </w:rPr>
              <w:t xml:space="preserve">areas and discrete Aboriginal and Torres Strait Islander communities. These exclusions are unlikely to affect national estimates, and will only have a minor effect on aggregate estimates produced for individual states and territories, excepting the Northern Territory where the population living in private dwellings in </w:t>
            </w:r>
            <w:r>
              <w:rPr>
                <w:rStyle w:val="row-content-rich-text"/>
                <w:i/>
              </w:rPr>
              <w:t xml:space="preserve">Very remote </w:t>
            </w:r>
            <w:r>
              <w:rPr>
                <w:rStyle w:val="row-content-rich-text"/>
              </w:rPr>
              <w:t xml:space="preserve">areas accounts for around 28% of persons. Non-private dwellings such as hotels, motels, hospitals, nursing homes and short-stay caravan parks were also excluded from the survey. The response rate for the 2014–15 NHS was 82%. Results are weighted to account for non-response.</w:t>
            </w:r>
          </w:p>
          <w:p>
            <w:pPr>
              <w:spacing w:after="160"/>
            </w:pPr>
            <w:r>
              <w:rPr>
                <w:rStyle w:val="row-content-rich-text"/>
              </w:rPr>
              <w:t xml:space="preserve">The 2014–15 NATSISS was conducted in all states and territories, including </w:t>
            </w:r>
            <w:r>
              <w:rPr>
                <w:rStyle w:val="row-content-rich-text"/>
                <w:i/>
              </w:rPr>
              <w:t xml:space="preserve">Very remote </w:t>
            </w:r>
            <w:r>
              <w:rPr>
                <w:rStyle w:val="row-content-rich-text"/>
              </w:rPr>
              <w:t xml:space="preserve">areas. Non-private dwellings such as hotels, motels, hospitals, nursing homes and short-stay caravan parks were excluded from the survey. The response rate for the 2014–15 NATSISS was 80%.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Indications of the level of sampling error are given by the relative standard error (RSE) and 95% margin of error (MOE). Estimates with an RSE of 25</w:t>
            </w:r>
            <w:r>
              <w:rPr>
                <w:rStyle w:val="row-content-rich-text"/>
              </w:rPr>
              <w:t xml:space="preserve">–</w:t>
            </w:r>
            <w:r>
              <w:rPr>
                <w:rStyle w:val="row-content-rich-text"/>
              </w:rPr>
              <w:t xml:space="preserve">50% should be used with caution. Estimates with an RSE over 50% are generally considered too unreliable for general use. Margins of error are provided for proportions to assist in assessing the reliability of these data. The proportion combined with the MOE defines a range which is expected to include the true population value with a given level of confidence. This is known as the confidence interval. Proportions with an MOE of greater than 10 percentage points indicate that the range in which the true population value is expected is relatively wide.</w:t>
            </w:r>
          </w:p>
          <w:p>
            <w:pPr>
              <w:spacing w:after="160"/>
            </w:pPr>
            <w:r>
              <w:rPr>
                <w:rStyle w:val="row-content-rich-text"/>
              </w:rPr>
              <w:t xml:space="preserve">The following comments apply to data for the general and non-Indigenous populations:</w:t>
            </w:r>
          </w:p>
          <w:p>
            <w:pPr>
              <w:spacing w:after="160"/>
            </w:pPr>
            <w:r>
              <w:rPr>
                <w:rStyle w:val="row-content-rich-text"/>
                <w:b/>
              </w:rPr>
              <w:t xml:space="preserve">Adult smoking rates by state/territory and remoteness (Table NHA 4.1):</w:t>
            </w:r>
          </w:p>
          <w:p>
            <w:pPr>
              <w:pStyle w:val="ListParagraph"/>
              <w:numPr>
                <w:ilvl w:val="0"/>
                <w:numId w:val="2"/>
              </w:numPr>
            </w:pPr>
            <w:r>
              <w:rPr>
                <w:rStyle w:val="row-content-rich-text"/>
              </w:rPr>
              <w:t xml:space="preserve">RSEs for </w:t>
            </w:r>
            <w:r>
              <w:rPr>
                <w:rStyle w:val="row-content-rich-text"/>
                <w:i/>
              </w:rPr>
              <w:t xml:space="preserve">Inner regional </w:t>
            </w:r>
            <w:r>
              <w:rPr>
                <w:rStyle w:val="row-content-rich-text"/>
              </w:rPr>
              <w:t xml:space="preserve">and </w:t>
            </w:r>
            <w:r>
              <w:rPr>
                <w:rStyle w:val="row-content-rich-text"/>
                <w:i/>
              </w:rPr>
              <w:t xml:space="preserve">Remote </w:t>
            </w:r>
            <w:r>
              <w:rPr>
                <w:rStyle w:val="row-content-rich-text"/>
              </w:rPr>
              <w:t xml:space="preserve">Western Australia are greater than 25% and data should be used with caution.</w:t>
            </w:r>
          </w:p>
          <w:p>
            <w:pPr>
              <w:pStyle w:val="ListParagraph"/>
              <w:numPr>
                <w:ilvl w:val="0"/>
                <w:numId w:val="2"/>
              </w:numPr>
            </w:pPr>
            <w:r>
              <w:rPr>
                <w:rStyle w:val="row-content-rich-text"/>
              </w:rPr>
              <w:t xml:space="preserve">RSEs for </w:t>
            </w:r>
            <w:r>
              <w:rPr>
                <w:rStyle w:val="row-content-rich-text"/>
                <w:i/>
              </w:rPr>
              <w:t xml:space="preserve">Remote </w:t>
            </w:r>
            <w:r>
              <w:rPr>
                <w:rStyle w:val="row-content-rich-text"/>
              </w:rPr>
              <w:t xml:space="preserve">areas of all states and territories, except Western Australia and the Northern Territory are greater than 50% and data are considered too unreliable for general use.</w:t>
            </w:r>
          </w:p>
          <w:p>
            <w:pPr>
              <w:spacing w:after="160"/>
            </w:pPr>
            <w:r>
              <w:rPr>
                <w:rStyle w:val="row-content-rich-text"/>
                <w:b/>
              </w:rPr>
              <w:t xml:space="preserve">Adult smoking rates by state/territory and Socio-Economic Indexes for Areas (SEIFA) quintiles (Table NHA 4.2):</w:t>
            </w:r>
          </w:p>
          <w:p>
            <w:pPr>
              <w:pStyle w:val="ListParagraph"/>
              <w:numPr>
                <w:ilvl w:val="0"/>
                <w:numId w:val="3"/>
              </w:numPr>
            </w:pPr>
            <w:r>
              <w:rPr>
                <w:rStyle w:val="row-content-rich-text"/>
              </w:rPr>
              <w:t xml:space="preserve">RSEs for quintile 1 in the Australian Capital Territory, quintile 4 in Tasmania, and quintile 5 in Queensland, South Australia and Tasmania, are greater than 25% and data should be used with caution.</w:t>
            </w:r>
          </w:p>
          <w:p>
            <w:pPr>
              <w:spacing w:after="160"/>
            </w:pPr>
            <w:r>
              <w:rPr>
                <w:rStyle w:val="row-content-rich-text"/>
              </w:rPr>
              <w:t xml:space="preserve">The following comments apply to data for the Aboriginal and Torres Strait Islander population </w:t>
            </w:r>
            <w:r>
              <w:rPr>
                <w:rStyle w:val="row-content-rich-text"/>
                <w:b/>
              </w:rPr>
              <w:t xml:space="preserve">(Table NHA 4.3)</w:t>
            </w:r>
            <w:r>
              <w:rPr>
                <w:rStyle w:val="row-content-rich-text"/>
              </w:rPr>
              <w:t xml:space="preserve">:</w:t>
            </w:r>
          </w:p>
          <w:p>
            <w:pPr>
              <w:pStyle w:val="ListParagraph"/>
              <w:numPr>
                <w:ilvl w:val="0"/>
                <w:numId w:val="4"/>
              </w:numPr>
            </w:pPr>
            <w:r>
              <w:rPr>
                <w:rStyle w:val="row-content-rich-text"/>
              </w:rPr>
              <w:t xml:space="preserve">This indicator has acceptable relative standard error (RSE) levels of less than 25% for all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2014–15 NHS and 2014–15 NATSISS collected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recent NDSHS in 2013 show slightly different estimates for current daily smoking than the 2014–15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2015. National Health Survey: first results, </w:t>
            </w:r>
            <w:r>
              <w:rPr>
                <w:rStyle w:val="row-content-rich-text"/>
                <w:i/>
              </w:rPr>
              <w:t xml:space="preserve">2014–15. </w:t>
            </w:r>
            <w:r>
              <w:rPr>
                <w:rStyle w:val="row-content-rich-text"/>
              </w:rPr>
              <w:t xml:space="preserve">ABS cat. no. 4363.0.55.001. Canberra: ABS.</w:t>
            </w:r>
          </w:p>
          <w:p>
            <w:pPr/>
            <w:r>
              <w:rPr>
                <w:rStyle w:val="row-content-rich-text"/>
              </w:rPr>
              <w:t xml:space="preserve">ABS 2016. National Aboriginal and Torres Strait Islander Social Survey: 2014–15. ABS cat. no. 4714.0.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674598ddcd4a82">
              <w:r>
                <w:rPr>
                  <w:rStyle w:val="Hyperlink"/>
                </w:rPr>
                <w:t xml:space="preserve">National Healthcare Agreement: PI 04-Rates of current daily smokers, 2015 QS</w:t>
              </w:r>
            </w:hyperlink>
          </w:p>
          <w:p>
            <w:pPr>
              <w:spacing w:before="0" w:after="0"/>
            </w:pPr>
            <w:r>
              <w:rPr>
                <w:rStyle w:val="row-content"/>
                <w:color w:val="244061"/>
              </w:rPr>
              <w:t xml:space="preserve">       </w:t>
            </w:r>
            <w:hyperlink w:history="true" r:id="Rb2be6efd1bb64d59">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6dd2da6051a4037">
              <w:r>
                <w:rPr>
                  <w:rStyle w:val="Hyperlink"/>
                </w:rPr>
                <w:t xml:space="preserve">National Healthcare Agreement: PI 04–Rates of current daily smokers, 2017</w:t>
              </w:r>
            </w:hyperlink>
          </w:p>
          <w:p>
            <w:pPr>
              <w:spacing w:before="0" w:after="0"/>
            </w:pPr>
            <w:r>
              <w:rPr>
                <w:rStyle w:val="row-content"/>
                <w:color w:val="244061"/>
              </w:rPr>
              <w:t xml:space="preserve">       </w:t>
            </w:r>
            <w:hyperlink w:history="true" r:id="R5ebded410bba4891">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516d31f9cc0a4c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658457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7ab1dc934841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6d31f9cc0a4c0f" /><Relationship Type="http://schemas.openxmlformats.org/officeDocument/2006/relationships/header" Target="/word/header1.xml" Id="R9c901f8c59bc40d8" /><Relationship Type="http://schemas.openxmlformats.org/officeDocument/2006/relationships/settings" Target="/word/settings.xml" Id="R4e2e316720f74ef4" /><Relationship Type="http://schemas.openxmlformats.org/officeDocument/2006/relationships/styles" Target="/word/styles.xml" Id="R2bec2299ecac401f" /><Relationship Type="http://schemas.openxmlformats.org/officeDocument/2006/relationships/hyperlink" Target="https://meteor.aihw.gov.au/RegistrationAuthority/12" TargetMode="External" Id="R036dea4c678249b7" /><Relationship Type="http://schemas.openxmlformats.org/officeDocument/2006/relationships/hyperlink" Target="http://www.legislation.gov.au/Series/C1905A00015" TargetMode="External" Id="Rfad326476d1f4a3e" /><Relationship Type="http://schemas.openxmlformats.org/officeDocument/2006/relationships/hyperlink" Target="https://www.legislation.gov.au/Series/C2004A00282" TargetMode="External" Id="R7628944d5b894329" /><Relationship Type="http://schemas.openxmlformats.org/officeDocument/2006/relationships/hyperlink" Target="http://www.abs.gov.au/websitedbs/d3310114.nsf/4a256353001af3ed4b2562bb00121564/10ca14cb967e5b83ca2573ae00197b65!OpenDocument" TargetMode="External" Id="Rbe4c1edf7fd84f9e" /><Relationship Type="http://schemas.openxmlformats.org/officeDocument/2006/relationships/hyperlink" Target="http://www.abs.gov.au/ausstats/abs@.nsf/PrimaryMainFeatures/4364.0.55.001?OpenDocument" TargetMode="External" Id="R162484dfa2dd4577" /><Relationship Type="http://schemas.openxmlformats.org/officeDocument/2006/relationships/hyperlink" Target="http://www.abs.gov.au/AUSSTATS/abs@.nsf/mf/4714.0" TargetMode="External" Id="R5e6c09e712b54da0" /><Relationship Type="http://schemas.openxmlformats.org/officeDocument/2006/relationships/hyperlink" Target="http://www.abs.gov.au/ausstats/abs@.nsf/PrimaryMainFeatures/4364.0.55.001?OpenDocument" TargetMode="External" Id="R04d903f1935545fb" /><Relationship Type="http://schemas.openxmlformats.org/officeDocument/2006/relationships/hyperlink" Target="http://www.abs.gov.au/ausstats/abs@.nsf/PrimaryMainFeatures/4364.0.55.001?OpenDocument" TargetMode="External" Id="R2e90521fa9ad48d7" /><Relationship Type="http://schemas.openxmlformats.org/officeDocument/2006/relationships/hyperlink" Target="http://www.abs.gov.au/ausstats%5Cabs@.nsf/0/880A750EFFDE2611CA2570BF007B1CD4?Opendocument" TargetMode="External" Id="R1eabe6910dec4b01" /><Relationship Type="http://schemas.openxmlformats.org/officeDocument/2006/relationships/hyperlink" Target="http://www.abs.gov.au" TargetMode="External" Id="R920761b243f843ec" /><Relationship Type="http://schemas.openxmlformats.org/officeDocument/2006/relationships/numbering" Target="/word/numbering.xml" Id="R0a57aa65476d4aa1" /><Relationship Type="http://schemas.openxmlformats.org/officeDocument/2006/relationships/hyperlink" Target="https://meteor.aihw.gov.au/content/559136" TargetMode="External" Id="Rc5674598ddcd4a82" /><Relationship Type="http://schemas.openxmlformats.org/officeDocument/2006/relationships/hyperlink" Target="https://meteor.aihw.gov.au/RegistrationAuthority/12" TargetMode="External" Id="Rb2be6efd1bb64d59" /><Relationship Type="http://schemas.openxmlformats.org/officeDocument/2006/relationships/hyperlink" Target="https://meteor.aihw.gov.au/content/629992" TargetMode="External" Id="R36dd2da6051a4037" /><Relationship Type="http://schemas.openxmlformats.org/officeDocument/2006/relationships/hyperlink" Target="https://meteor.aihw.gov.au/RegistrationAuthority/12" TargetMode="External" Id="R5ebded410bba4891" /></Relationships>
</file>

<file path=word/_rels/header1.xml.rels>&#65279;<?xml version="1.0" encoding="utf-8"?><Relationships xmlns="http://schemas.openxmlformats.org/package/2006/relationships"><Relationship Type="http://schemas.openxmlformats.org/officeDocument/2006/relationships/image" Target="/media/image.png" Id="R7c7ab1dc9348413f" /></Relationships>
</file>