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f32e187b7246f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d351b3fcd468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National Health Survey (NHS) and the 2014–15 National Aboriginal and Torres Strait Islander Social Survey (NATSISS) were collected, processed, and published by the Australian Bureau of Statistics (ABS). The ABS operates within a framework of the </w:t>
            </w:r>
            <w:hyperlink w:history="true" r:id="Reda15e513d1c40d0">
              <w:r>
                <w:rPr>
                  <w:rStyle w:val="Hyperlink"/>
                  <w:i/>
                </w:rPr>
                <w:t xml:space="preserve">Census and Statistics Act 1905</w:t>
              </w:r>
            </w:hyperlink>
            <w:r>
              <w:rPr>
                <w:rStyle w:val="row-content-rich-text"/>
              </w:rPr>
              <w:t xml:space="preserve"> and the </w:t>
            </w:r>
            <w:hyperlink w:history="true" r:id="Rf90ea29893654428">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r>
              <w:br/>
            </w: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77a89dfce525434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7ae75fcfb3404503">
              <w:r>
                <w:rPr>
                  <w:rStyle w:val="Hyperlink"/>
                  <w:i/>
                </w:rPr>
                <w:t xml:space="preserve">National Health Survey: first results, 2014</w:t>
              </w:r>
            </w:hyperlink>
            <w:r>
              <w:rPr>
                <w:rStyle w:val="row-content-rich-text"/>
              </w:rPr>
              <w:t xml:space="preserve">–</w:t>
            </w:r>
            <w:hyperlink w:history="true" r:id="Ra69eaeb0af6641d5">
              <w:r>
                <w:rPr>
                  <w:rStyle w:val="Hyperlink"/>
                  <w:i/>
                </w:rPr>
                <w:t xml:space="preserve">15</w:t>
              </w:r>
            </w:hyperlink>
            <w:r>
              <w:rPr>
                <w:rStyle w:val="row-content-rich-text"/>
              </w:rPr>
              <w:t xml:space="preserve"> (ABS 2015) and </w:t>
            </w:r>
            <w:hyperlink w:history="true" r:id="R783f400e55bb4228">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2016a)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r>
              <w:rPr>
                <w:rStyle w:val="row-content-rich-text"/>
                <w:i/>
              </w:rPr>
              <w:t xml:space="preserve">National Health Survey: first results, 2014–15 </w:t>
            </w:r>
            <w:r>
              <w:rPr>
                <w:rStyle w:val="row-content-rich-text"/>
              </w:rPr>
              <w:t xml:space="preserve">(ABS 2015) and the </w:t>
            </w:r>
            <w:hyperlink w:history="true" r:id="R43362b8effa34b1f">
              <w:r>
                <w:rPr>
                  <w:rStyle w:val="Hyperlink"/>
                  <w:i/>
                </w:rPr>
                <w:t xml:space="preserve">National Aboriginal and Torres Strait Islander Social Survey: user guide, 2014-15</w:t>
              </w:r>
            </w:hyperlink>
            <w:r>
              <w:rPr>
                <w:rStyle w:val="row-content-rich-text"/>
              </w:rPr>
              <w:t xml:space="preserve"> (ABS 2016b) are available.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and 2014–15 NATSISS collected self-reported information on alcohol consumption from persons aged 15 years and over.</w:t>
            </w:r>
            <w:r>
              <w:br/>
            </w:r>
            <w:r>
              <w:rPr>
                <w:rStyle w:val="row-content-rich-text"/>
              </w:rPr>
              <w:t xml:space="preserve">In the 2014–15 NHS, lifetime risk (2009 National Health and Medical Research Council (NHMRC) guidelines) was assessed using average daily consumption of alcohol, derived from the type, brand, number and serving sizes of beverages consumed on the 3 most recent days of the week prior to interview, in conjunction with the total number of days alcohol was consumed in the week prior to interview. The following formula for average daily amount of alcohol consumed (that is, an average over the 7 days of the reference week) was used:</w:t>
            </w:r>
          </w:p>
          <w:p>
            <w:pPr>
              <w:pStyle w:val="ListParagraph"/>
              <w:numPr>
                <w:ilvl w:val="0"/>
                <w:numId w:val="2"/>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 the 2014–15 NATSISS, lifetime risk (2009 NHMRC guidelines) was based on a person's reported usual daily consumption of alcohol and the frequency of consumption in the 12 months prior to interview.</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in both surveys, reported quantities of alcoholic drinks consumed were converted to millilitres (mls) of alcohol present in those drinks, using the formula:</w:t>
            </w:r>
          </w:p>
          <w:p>
            <w:pPr>
              <w:pStyle w:val="ListParagraph"/>
              <w:numPr>
                <w:ilvl w:val="0"/>
                <w:numId w:val="3"/>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Indigenous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w:t>
            </w:r>
            <w:r>
              <w:rPr>
                <w:rStyle w:val="row-content-rich-text"/>
              </w:rPr>
              <w:t xml:space="preserve"> 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1-week reference period in the NHS (with collection of data for the most recent 3 days in the last week on which the person drank) is considered to be short enough to minimise recall bias but long enough to obtain a reasonable indication of drinking behaviour. In the 2014–15 NATSISS, information was collected in terms of standard containers or measures (e.g. stubbie, nip, 10-oz glass). Interviewers were trained to record as much information as possible when questioning about quantities, as the calculation of standard drinks was done during data processing.</w:t>
            </w:r>
          </w:p>
          <w:p>
            <w:pPr>
              <w:spacing w:after="160"/>
            </w:pPr>
            <w:r>
              <w:rPr>
                <w:rStyle w:val="row-content-rich-text"/>
              </w:rPr>
              <w:t xml:space="preserve">While the last-week-exact-recall method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spacing w:after="160"/>
            </w:pPr>
            <w:r>
              <w:rPr>
                <w:rStyle w:val="row-content-rich-text"/>
                <w:b/>
              </w:rPr>
              <w:t xml:space="preserve">Adult alcohol consumption longer term risk rates by state/territory and remoteness (Table NHA 5.1):</w:t>
            </w:r>
          </w:p>
          <w:p>
            <w:pPr>
              <w:pStyle w:val="ListParagraph"/>
              <w:numPr>
                <w:ilvl w:val="0"/>
                <w:numId w:val="4"/>
              </w:numPr>
            </w:pPr>
            <w:r>
              <w:rPr>
                <w:rStyle w:val="row-content-rich-text"/>
              </w:rPr>
              <w:t xml:space="preserve">RSEs for </w:t>
            </w:r>
            <w:r>
              <w:rPr>
                <w:rStyle w:val="row-content-rich-text"/>
                <w:i/>
              </w:rPr>
              <w:t xml:space="preserve">Remote </w:t>
            </w:r>
            <w:r>
              <w:rPr>
                <w:rStyle w:val="row-content-rich-text"/>
              </w:rPr>
              <w:t xml:space="preserve">New South Wales, Victoria, Queensland and Western Australia are greater than 50% and data are considered too unreliable for general use.</w:t>
            </w:r>
          </w:p>
          <w:p>
            <w:pPr>
              <w:spacing w:after="160"/>
            </w:pPr>
            <w:r>
              <w:rPr>
                <w:rStyle w:val="row-content-rich-text"/>
                <w:b/>
              </w:rPr>
              <w:t xml:space="preserve">Adult alcohol consumption longer term risk rates by state/territory and Socio-Economic Indexes for Areas (SEIFA) quintiles (Table NHA 5.2):</w:t>
            </w:r>
          </w:p>
          <w:p>
            <w:pPr>
              <w:pStyle w:val="ListParagraph"/>
              <w:numPr>
                <w:ilvl w:val="0"/>
                <w:numId w:val="5"/>
              </w:numPr>
            </w:pPr>
            <w:r>
              <w:rPr>
                <w:rStyle w:val="row-content-rich-text"/>
              </w:rPr>
              <w:t xml:space="preserve">RSEs for quintile 1 in Western Australia, quintile 2 in the Northern Territory, and quintiles 2 and 3 in the Australian Capital Territory are greater than 25% and data should be used with caution.</w:t>
            </w:r>
          </w:p>
          <w:p>
            <w:pPr>
              <w:pStyle w:val="ListParagraph"/>
              <w:numPr>
                <w:ilvl w:val="0"/>
                <w:numId w:val="5"/>
              </w:numPr>
            </w:pPr>
            <w:r>
              <w:rPr>
                <w:rStyle w:val="row-content-rich-text"/>
              </w:rPr>
              <w:t xml:space="preserve">RSEs for quintile 1 in the Australian Capital Territory and the Northern Territory are greater than 50% and data are considered too unreliable for general use.</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5.3)</w:t>
            </w:r>
            <w:r>
              <w:rPr>
                <w:rStyle w:val="row-content-rich-text"/>
              </w:rPr>
              <w:t xml:space="preserve">:</w:t>
            </w:r>
          </w:p>
          <w:p>
            <w:pPr>
              <w:pStyle w:val="ListParagraph"/>
              <w:numPr>
                <w:ilvl w:val="0"/>
                <w:numId w:val="6"/>
              </w:numPr>
            </w:pPr>
            <w:r>
              <w:rPr>
                <w:rStyle w:val="row-content-rich-text"/>
              </w:rPr>
              <w:t xml:space="preserve">This indicator has acceptable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NATSISS alcohol consumption data are not comparable with either the 2014–15 NHS or 2012–13 National Aboriginal and Torres Strait Islander Health Survey (NATSIHS) data due to differences in collection methodology, including use of a different reference period to determine average alcohol consumption (lifetime risk). In the 2014–15 NHS and 2012–13 NATSIHS, average alcohol consumption was determined based on the amount of alcohol consumed in the 3 most recent drinking days in the last week. In the 2014–15 NATSISS, average alcohol consumption was determined based on the amount of alcohol consumed on a usual drinking day.</w:t>
            </w:r>
          </w:p>
          <w:p>
            <w:pPr/>
            <w:r>
              <w:rPr>
                <w:rStyle w:val="row-content-rich-text"/>
              </w:rPr>
              <w:t xml:space="preserve">The 2014–15 NHS and 2014–15 NATSISS collected a range of other health-related information that can be analysed in conjunction with alcohol risk level.</w:t>
            </w:r>
            <w:r>
              <w:br/>
            </w:r>
            <w:r>
              <w:rPr>
                <w:rStyle w:val="row-content-rich-text"/>
              </w:rPr>
              <w:t xml:space="preserve">Other collections, such as the National Drug Strategy Household Survey (NDSHS), report against the same NHMRC guidelines. Results from the most recent NDSHS in 2013 show slightly different estimates for long-term harm from alcohol than in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2014–15. ABS cat. no. 4363.0.55.001. Canberra: ABS. Viewed 22 June 2017, </w:t>
            </w:r>
            <w:hyperlink w:history="true" r:id="Rda91082c62fe43a5">
              <w:r>
                <w:rPr>
                  <w:rStyle w:val="Hyperlink"/>
                </w:rPr>
                <w:t xml:space="preserve">http://www.abs.gov.au/ausstats/abs@.nsf/PrimaryMainFeatures/4364.0.55.001?</w:t>
              </w:r>
              <w:r>
                <w:br/>
              </w:r>
              <w:r>
                <w:rPr>
                  <w:rStyle w:val="row-content-rich-text"/>
                </w:rPr>
                <w:t xml:space="preserve">OpenDocument</w:t>
              </w:r>
            </w:hyperlink>
            <w:r>
              <w:rPr>
                <w:rStyle w:val="row-content-rich-text"/>
              </w:rPr>
              <w:t xml:space="preserve">.</w:t>
            </w:r>
          </w:p>
          <w:p>
            <w:pPr>
              <w:spacing w:after="160"/>
            </w:pPr>
            <w:r>
              <w:rPr>
                <w:rStyle w:val="row-content-rich-text"/>
              </w:rPr>
              <w:t xml:space="preserve">ABS 2016a. National Aboriginal and Torres Strait Islander Social Survey: 2014–15. ABS cat. no. 4714.0. Canberra: ABS. Viewed 22 June 2017, </w:t>
            </w:r>
            <w:hyperlink w:history="true" r:id="R6b6b87e7ff3f4857">
              <w:r>
                <w:rPr>
                  <w:rStyle w:val="Hyperlink"/>
                </w:rPr>
                <w:t xml:space="preserve">http://www.abs.gov.au/AUSSTATS/abs@.nsf/mf/4714.0</w:t>
              </w:r>
            </w:hyperlink>
            <w:r>
              <w:rPr>
                <w:rStyle w:val="row-content-rich-text"/>
              </w:rPr>
              <w:t xml:space="preserve">.</w:t>
            </w:r>
          </w:p>
          <w:p>
            <w:pPr/>
            <w:r>
              <w:rPr>
                <w:rStyle w:val="row-content-rich-text"/>
              </w:rPr>
              <w:t xml:space="preserve">ABS 2016b. National Aboriginal and Torres Strait Islander Social Survey: user guide, 2014-15. ABS cat. no. 4720.0  Canberra: ABS. Viewed 22 June 2017, </w:t>
            </w:r>
            <w:hyperlink w:history="true" r:id="Re819bfe4e42c4148">
              <w:r>
                <w:rPr>
                  <w:rStyle w:val="Hyperlink"/>
                </w:rPr>
                <w:t xml:space="preserve">http://www.abs.gov.au/ausstats%5Cabs@.nsf/0/880A750EFFDE2611CA2570BF</w:t>
              </w:r>
              <w:r>
                <w:br/>
              </w:r>
              <w:r>
                <w:rPr>
                  <w:rStyle w:val="row-content-rich-text"/>
                </w:rPr>
                <w:t xml:space="preserve">007B1CD4?Opendocument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08359fb1844d8">
              <w:r>
                <w:rPr>
                  <w:rStyle w:val="Hyperlink"/>
                </w:rPr>
                <w:t xml:space="preserve">National Healthcare Agreement: PI 05-Levels of risky alcohol consumption, 2014 QS</w:t>
              </w:r>
            </w:hyperlink>
          </w:p>
          <w:p>
            <w:pPr>
              <w:spacing w:before="0" w:after="0"/>
            </w:pPr>
            <w:r>
              <w:rPr>
                <w:rStyle w:val="row-content"/>
                <w:color w:val="244061"/>
              </w:rPr>
              <w:t xml:space="preserve">       </w:t>
            </w:r>
            <w:hyperlink w:history="true" r:id="R0e29fb32775546b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c7450d52dc436d">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eb16b815e59b4e5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762a925d4c2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504170313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2a925d4c240e5" /><Relationship Type="http://schemas.openxmlformats.org/officeDocument/2006/relationships/header" Target="/word/header1.xml" Id="Rcbd5ad313d7e4221" /><Relationship Type="http://schemas.openxmlformats.org/officeDocument/2006/relationships/settings" Target="/word/settings.xml" Id="Rf7028433be8f4f7f" /><Relationship Type="http://schemas.openxmlformats.org/officeDocument/2006/relationships/styles" Target="/word/styles.xml" Id="Rd42d10cc73c54450" /><Relationship Type="http://schemas.openxmlformats.org/officeDocument/2006/relationships/hyperlink" Target="https://meteor.aihw.gov.au/RegistrationAuthority/12" TargetMode="External" Id="R321d351b3fcd468f" /><Relationship Type="http://schemas.openxmlformats.org/officeDocument/2006/relationships/hyperlink" Target="http://www.legislation.gov.au/Series/C1905A00015" TargetMode="External" Id="Reda15e513d1c40d0" /><Relationship Type="http://schemas.openxmlformats.org/officeDocument/2006/relationships/hyperlink" Target="http://www.legislation.gov.au/Series/C2004A00282" TargetMode="External" Id="Rf90ea29893654428" /><Relationship Type="http://schemas.openxmlformats.org/officeDocument/2006/relationships/hyperlink" Target="http://www.abs.gov.au/websitedbs/d3310114.nsf/4a256353001af3ed4b2562bb00121564/10ca14cb967e5b83ca2573ae00197b65!OpenDocument" TargetMode="External" Id="R77a89dfce5254344" /><Relationship Type="http://schemas.openxmlformats.org/officeDocument/2006/relationships/hyperlink" Target="http://www.abs.gov.au/ausstats/abs@.nsf/PrimaryMainFeatures/4364.0.55.001?OpenDocument" TargetMode="External" Id="R7ae75fcfb3404503" /><Relationship Type="http://schemas.openxmlformats.org/officeDocument/2006/relationships/hyperlink" Target="http://www.abs.gov.au/ausstats/abs@.nsf/PrimaryMainFeatures/4364.0.55.001?OpenDocument" TargetMode="External" Id="Ra69eaeb0af6641d5" /><Relationship Type="http://schemas.openxmlformats.org/officeDocument/2006/relationships/hyperlink" Target="http://www.abs.gov.au/AUSSTATS/abs@.nsf/mf/4714.0" TargetMode="External" Id="R783f400e55bb4228" /><Relationship Type="http://schemas.openxmlformats.org/officeDocument/2006/relationships/hyperlink" Target="http://www.abs.gov.au/ausstats%5Cabs@.nsf/0/880A750EFFDE2611CA2570BF007B1CD4?Opendocument" TargetMode="External" Id="R43362b8effa34b1f" /><Relationship Type="http://schemas.openxmlformats.org/officeDocument/2006/relationships/numbering" Target="/word/numbering.xml" Id="R4e2db61b406e4592" /><Relationship Type="http://schemas.openxmlformats.org/officeDocument/2006/relationships/hyperlink" Target="http://www.abs.gov.au/ausstats/abs@.nsf/PrimaryMainFeatures/4364.0.55.001?OpenDocument" TargetMode="External" Id="Rda91082c62fe43a5" /><Relationship Type="http://schemas.openxmlformats.org/officeDocument/2006/relationships/hyperlink" Target="http://www.abs.gov.au/AUSSTATS/abs@.nsf/mf/4714.0" TargetMode="External" Id="R6b6b87e7ff3f4857" /><Relationship Type="http://schemas.openxmlformats.org/officeDocument/2006/relationships/hyperlink" Target="http://www.abs.gov.au/ausstats%5Cabs@.nsf/0/880A750EFFDE2611CA2570BF007B1CD4?Opendocument" TargetMode="External" Id="Re819bfe4e42c4148" /><Relationship Type="http://schemas.openxmlformats.org/officeDocument/2006/relationships/hyperlink" Target="https://meteor.aihw.gov.au/content/517762" TargetMode="External" Id="Rba908359fb1844d8" /><Relationship Type="http://schemas.openxmlformats.org/officeDocument/2006/relationships/hyperlink" Target="https://meteor.aihw.gov.au/RegistrationAuthority/12" TargetMode="External" Id="R0e29fb32775546bd" /><Relationship Type="http://schemas.openxmlformats.org/officeDocument/2006/relationships/hyperlink" Target="https://meteor.aihw.gov.au/content/629999" TargetMode="External" Id="Rf9c7450d52dc436d" /><Relationship Type="http://schemas.openxmlformats.org/officeDocument/2006/relationships/hyperlink" Target="https://meteor.aihw.gov.au/RegistrationAuthority/12" TargetMode="External" Id="Reb16b815e59b4e55" /></Relationships>
</file>

<file path=word/_rels/header1.xml.rels>&#65279;<?xml version="1.0" encoding="utf-8"?><Relationships xmlns="http://schemas.openxmlformats.org/package/2006/relationships"><Relationship Type="http://schemas.openxmlformats.org/officeDocument/2006/relationships/image" Target="/media/image.png" Id="R1bc5041703134f09" /></Relationships>
</file>