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ef2bf3ccf84738"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2.1-Cardiac-related diagnostic tests,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2.1-Cardiac-related diagnostic tests,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2.1-Cardiac-related diagnostic tests,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134e11d8144d6">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percentage of Aboriginal and Torres Strait Islander people who claimed 1 or more relevant cardiac-related Medicare Benefits Schedule (MBS) diagnostic items within a 12-month period, compared with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measure falls within Priority area 2 of the Better Cardiac Care project—timely diagnosis of heart disease and heart failure. This priority area is based on the premise that all Aboriginal and Torres Strait Islander people suspected of having heart disease or heart failure should receive the appropriate initial diagnostic service (for example, stress testing or coronary angiography for ischaemic heart disease, echocardiography for heart failure and rheumatic heart disease, or other investigations as clinically indicated), as close to the patient’s home as possible, and within acceptable timeframes according to the level of risk and the patient’s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edd14985f04de3">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a5b816517a024969">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people who had claimed 1 or more relevant cardiac-related MBS diagnostic items within a 12-month period.</w:t>
            </w:r>
          </w:p>
          <w:p>
            <w:pPr>
              <w:spacing w:after="160"/>
            </w:pPr>
            <w:r>
              <w:rPr>
                <w:rStyle w:val="row-content-rich-text"/>
              </w:rPr>
              <w:t xml:space="preserve">Data are presented as a number and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r>
              <w:rPr>
                <w:rStyle w:val="row-content-rich-text"/>
                <w:i/>
              </w:rPr>
              <w:t xml:space="preserve">Relevant cardiac-related MBS diagnostic item</w:t>
            </w:r>
            <w:r>
              <w:rPr>
                <w:rStyle w:val="row-content-rich-text"/>
              </w:rPr>
              <w:t xml:space="preserve">—consists of the following cardiac-related MBS diagnostic items for 2014–15: ECG monitoring (MBS item 11712); echocardiography (items 55113, 55114, 55116 to 55119, 55120, 55122, 55123, 55125); and cardiac catheterisation (items 38215–38246; 38300–38318; 38200, 38203, 38206).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Numerator</w:t>
            </w:r>
          </w:p>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claimed 1 or more relevant cardiac-related MBS diagnostic items within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3e701bd63a4964">
              <w:r>
                <w:rPr>
                  <w:rStyle w:val="Hyperlink"/>
                </w:rPr>
                <w:t xml:space="preserve">Service event—Medicare Benefits Schedule (MBS) processing date, DDMMYYYY</w:t>
              </w:r>
            </w:hyperlink>
          </w:p>
          <w:p>
            <w:r>
              <w:rPr>
                <w:rStyle w:val="row-content"/>
                <w:b/>
              </w:rPr>
              <w:t xml:space="preserve">Data Source</w:t>
            </w:r>
          </w:p>
          <w:p>
            <w:hyperlink w:history="true" r:id="R6d43f78a6468481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8d09de7416459a">
              <w:r>
                <w:rPr>
                  <w:rStyle w:val="Hyperlink"/>
                </w:rPr>
                <w:t xml:space="preserve">Person—Medicare personal identifier number, N(9)</w:t>
              </w:r>
            </w:hyperlink>
          </w:p>
          <w:p>
            <w:r>
              <w:rPr>
                <w:rStyle w:val="row-content"/>
                <w:b/>
              </w:rPr>
              <w:t xml:space="preserve">Data Source</w:t>
            </w:r>
          </w:p>
          <w:p>
            <w:hyperlink w:history="true" r:id="Rfde9afd6d6d0496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uniquely identify and 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30b6a5f99b4e1b">
              <w:r>
                <w:rPr>
                  <w:rStyle w:val="Hyperlink"/>
                </w:rPr>
                <w:t xml:space="preserve">Service event—Medicare Benefits Schedule (MBS) item identifier, NN[NNN]</w:t>
              </w:r>
            </w:hyperlink>
          </w:p>
          <w:p>
            <w:r>
              <w:rPr>
                <w:rStyle w:val="row-content"/>
                <w:b/>
              </w:rPr>
              <w:t xml:space="preserve">Data Source</w:t>
            </w:r>
          </w:p>
          <w:p>
            <w:hyperlink w:history="true" r:id="Re61c7e775daf430b">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population at the middle of the financial year, calculated as the average of the population estimates/projections at 30 June at the beginning and end of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1eaf5b56b78430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and projected Indigenous resident population</w:t>
            </w:r>
          </w:p>
          <w:p>
            <w:r>
              <w:rPr>
                <w:rStyle w:val="row-content"/>
              </w:rPr>
              <w:t xml:space="preserve"> </w:t>
            </w:r>
          </w:p>
          <w:p>
            <w:r>
              <w:rPr>
                <w:rStyle w:val="row-content"/>
                <w:b/>
              </w:rPr>
              <w:t xml:space="preserve">Data Source</w:t>
            </w:r>
          </w:p>
          <w:p>
            <w:hyperlink w:history="true" r:id="R4d6bb319574f450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(2014–15) by:</w:t>
            </w:r>
          </w:p>
          <w:p>
            <w:pPr>
              <w:pStyle w:val="ListParagraph"/>
              <w:numPr>
                <w:ilvl w:val="0"/>
                <w:numId w:val="2"/>
              </w:numPr>
            </w:pPr>
            <w:r>
              <w:rPr>
                <w:rStyle w:val="row-content-rich-text"/>
              </w:rPr>
              <w:t xml:space="preserve">Indigenous status and type of diagnostic test (ECG monitoring, echocardiography and cardiac catheterisation)</w:t>
            </w:r>
          </w:p>
          <w:p>
            <w:pPr>
              <w:pStyle w:val="ListParagraph"/>
              <w:numPr>
                <w:ilvl w:val="0"/>
                <w:numId w:val="2"/>
              </w:numPr>
            </w:pPr>
            <w:r>
              <w:rPr>
                <w:rStyle w:val="row-content-rich-text"/>
              </w:rPr>
              <w:t xml:space="preserve">Indigenous status, sex and age group (0–24, 25–34, 35–44, 45–54, 55–64, 65+)</w:t>
            </w:r>
          </w:p>
          <w:p>
            <w:pPr>
              <w:pStyle w:val="ListParagraph"/>
              <w:numPr>
                <w:ilvl w:val="0"/>
                <w:numId w:val="2"/>
              </w:numPr>
            </w:pPr>
            <w:r>
              <w:rPr>
                <w:rStyle w:val="row-content-rich-text"/>
              </w:rPr>
              <w:t xml:space="preserve">Indigenous status and state/territory</w:t>
            </w:r>
          </w:p>
          <w:p>
            <w:pPr>
              <w:pStyle w:val="ListParagraph"/>
              <w:numPr>
                <w:ilvl w:val="0"/>
                <w:numId w:val="2"/>
              </w:numPr>
            </w:pPr>
            <w:r>
              <w:rPr>
                <w:rStyle w:val="row-content-rich-text"/>
              </w:rPr>
              <w:t xml:space="preserve">Indigenous status and remoteness area.</w:t>
            </w:r>
          </w:p>
          <w:p>
            <w:pPr>
              <w:spacing w:after="160"/>
            </w:pPr>
            <w:r>
              <w:rPr>
                <w:rStyle w:val="row-content-rich-text"/>
              </w:rPr>
              <w:t xml:space="preserve">Time series (2004–05 to 2014–15)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rPr>
              <w:t xml:space="preserve">—</w:t>
            </w:r>
            <w:r>
              <w:rPr>
                <w:rStyle w:val="row-content"/>
              </w:rPr>
              <w:t xml:space="preserve">Indigenous status</w:t>
            </w:r>
          </w:p>
          <w:p>
            <w:r>
              <w:rPr>
                <w:rStyle w:val="row-content"/>
              </w:rPr>
              <w:t xml:space="preserve"> </w:t>
            </w:r>
          </w:p>
          <w:p>
            <w:r>
              <w:rPr>
                <w:rStyle w:val="row-content"/>
                <w:b/>
              </w:rPr>
              <w:t xml:space="preserve">Data Source</w:t>
            </w:r>
          </w:p>
          <w:p>
            <w:hyperlink w:history="true" r:id="Rffa08888a9444c1d">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Indigenous status is determined using the Voluntary Indigenous Identifier (VII) (see 'Comments' section for details).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6c463a263643c9">
              <w:r>
                <w:rPr>
                  <w:rStyle w:val="Hyperlink"/>
                </w:rPr>
                <w:t xml:space="preserve">Person—date of birth, DDMMYYYY</w:t>
              </w:r>
            </w:hyperlink>
          </w:p>
          <w:p>
            <w:r>
              <w:rPr>
                <w:rStyle w:val="row-content"/>
                <w:b/>
              </w:rPr>
              <w:t xml:space="preserve">Data Source</w:t>
            </w:r>
          </w:p>
          <w:p>
            <w:hyperlink w:history="true" r:id="Rb6d9102238474f9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together with 'processing date' to calculate age. Age is calculated as at the date of processing for the last service processed for that individual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d0af2ce0854230">
              <w:r>
                <w:rPr>
                  <w:rStyle w:val="Hyperlink"/>
                </w:rPr>
                <w:t xml:space="preserve">Address—Australian postcode, Australian postcode code (Postcode datafile) {NNNN}</w:t>
              </w:r>
            </w:hyperlink>
          </w:p>
          <w:p>
            <w:r>
              <w:rPr>
                <w:rStyle w:val="row-content"/>
                <w:b/>
              </w:rPr>
              <w:t xml:space="preserve">Data Source</w:t>
            </w:r>
          </w:p>
          <w:p>
            <w:hyperlink w:history="true" r:id="R12748b66a26b458c">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disaggregate data by state/territory and remoteness area. This data item is based on the patient's Medicare enrolment address, as at the date of processing for the last service processed for that individual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7bc652649d4900">
              <w:r>
                <w:rPr>
                  <w:rStyle w:val="Hyperlink"/>
                </w:rPr>
                <w:t xml:space="preserve">Service event—Medicare Benefits Schedule (MBS) processing date, DDMMYYYY</w:t>
              </w:r>
            </w:hyperlink>
          </w:p>
          <w:p>
            <w:r>
              <w:rPr>
                <w:rStyle w:val="row-content"/>
                <w:b/>
              </w:rPr>
              <w:t xml:space="preserve">Data Source</w:t>
            </w:r>
          </w:p>
          <w:p>
            <w:hyperlink w:history="true" r:id="R171e646e92694e5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together with 'date of birth'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8f946da9e748d0">
              <w:r>
                <w:rPr>
                  <w:rStyle w:val="Hyperlink"/>
                </w:rPr>
                <w:t xml:space="preserve">Person—sex, code A</w:t>
              </w:r>
            </w:hyperlink>
          </w:p>
          <w:p>
            <w:r>
              <w:rPr>
                <w:rStyle w:val="row-content"/>
                <w:b/>
              </w:rPr>
              <w:t xml:space="preserve">Data Source</w:t>
            </w:r>
          </w:p>
          <w:p>
            <w:hyperlink w:history="true" r:id="R25c18c05fab544aa">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50bdddbaac4d93">
              <w:r>
                <w:rPr>
                  <w:rStyle w:val="Hyperlink"/>
                </w:rPr>
                <w:t xml:space="preserve">Service event—Medicare Benefits Schedule (MBS) item identifier, NN[NNN]</w:t>
              </w:r>
            </w:hyperlink>
          </w:p>
          <w:p>
            <w:r>
              <w:rPr>
                <w:rStyle w:val="row-content"/>
                <w:b/>
              </w:rPr>
              <w:t xml:space="preserve">Data Source</w:t>
            </w:r>
          </w:p>
          <w:p>
            <w:hyperlink w:history="true" r:id="R6ce5f524af14428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numerator for this measure is drawn from MBS data. For 2016 reporting, the most recent data available are for 2014–15. MBS data reflect MBS claims processed and not necessarily all services rendered. For example, a person may be provided with equivalent care from a health-care provider who is not eligible to bill Medicare.</w:t>
            </w:r>
          </w:p>
          <w:p>
            <w:pPr>
              <w:spacing w:after="160"/>
            </w:pPr>
            <w:r>
              <w:rPr>
                <w:rStyle w:val="row-content-rich-text"/>
              </w:rPr>
              <w:t xml:space="preserve">The data are based on the date of processing of claims. The claim may have been made by the patient (or their representative) or by the health-care provider. If a service was rendered but not claimed within the reference period, then that service will not be included in those data.</w:t>
            </w:r>
          </w:p>
          <w:p>
            <w:pPr>
              <w:spacing w:after="160"/>
            </w:pPr>
            <w:r>
              <w:rPr>
                <w:rStyle w:val="row-content-rich-text"/>
              </w:rPr>
              <w:t xml:space="preserve">The denominator data used in the calculation of rates are Australian Bureau of Statistics (ABS) estimates and projections (Series B) based on the 2011 Census. Estimates for the non-Indigenous population were derived by subtracting the Indigenous estimated population from the total Australian estimated resident population.</w:t>
            </w:r>
          </w:p>
          <w:p>
            <w:pPr>
              <w:spacing w:after="160"/>
            </w:pPr>
            <w:r>
              <w:rPr>
                <w:rStyle w:val="row-content-rich-text"/>
              </w:rPr>
              <w:t xml:space="preserve">Indigenous identification:</w:t>
            </w:r>
          </w:p>
          <w:p>
            <w:pPr>
              <w:spacing w:after="160"/>
            </w:pPr>
            <w:r>
              <w:rPr>
                <w:rStyle w:val="row-content-rich-text"/>
              </w:rPr>
              <w:t xml:space="preserve">The identification of Indigenous Australians in MBS data is not complete. Since 2002, individuals who choose to identify as being of Aboriginal and/or Torres Strait Islander origin have been able to have this information recorded on the Medicare database through the Voluntary Indigenous Identifier (VII). Indigenous identification is through either a Medicare VII form or a tick-box on a Medicare enrolment form. Both methods indicate that identifying as Indigenous is optional. As at March 2016, an estimated 65% of the Indigenous population had identified as being of Aboriginal and/or Torres Strait Islander origin through the VII process (AIHW 2016).</w:t>
            </w:r>
          </w:p>
          <w:p>
            <w:pPr>
              <w:spacing w:after="160"/>
            </w:pPr>
            <w:r>
              <w:rPr>
                <w:rStyle w:val="row-content-rich-text"/>
                <w:i/>
              </w:rPr>
              <w:t xml:space="preserve">Use of the VII in calculations for this measure</w:t>
            </w:r>
          </w:p>
          <w:p>
            <w:pPr/>
            <w:r>
              <w:rPr>
                <w:rStyle w:val="row-content-rich-text"/>
              </w:rPr>
              <w:t xml:space="preserve">For this measure, Indigenous status is determined using the VII. As not all Indigenous Australians have recorded their Indigenous status with Medicare, the MBS data based on the VII were scaled up by the Australian Government Department of Health to reflect the size of the total Indigenous population. Estimates for non-Indigenous Australians were derived by subtracting the adjusted Indigenous estimates from the total number of people for whom the relevant MBS items were claimed.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61ea7a930d48a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8e302d3857a4ed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5b6e991b95704a3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r>
              <w:rPr>
                <w:rStyle w:val="row-content-rich-text"/>
              </w:rPr>
              <w:t xml:space="preserve">AIHW 2016. Better Cardiac Care measures for Aboriginal and Torres Strait Islander people: second national report 2016. Cat. no. IHW 169. Canberra: AIHW.</w:t>
            </w:r>
          </w:p>
        </w:tc>
      </w:tr>
    </w:tbl>
    <w:p>
      <w:r>
        <w:br/>
      </w:r>
    </w:p>
    <w:sectPr>
      <w:footerReference xmlns:r="http://schemas.openxmlformats.org/officeDocument/2006/relationships" w:type="default" r:id="Rf04b710ae819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8a135300d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b710ae8194556" /><Relationship Type="http://schemas.openxmlformats.org/officeDocument/2006/relationships/header" Target="/word/header1.xml" Id="Rfda5ead32dd445d4" /><Relationship Type="http://schemas.openxmlformats.org/officeDocument/2006/relationships/settings" Target="/word/settings.xml" Id="Rae3d3bddb2574f34" /><Relationship Type="http://schemas.openxmlformats.org/officeDocument/2006/relationships/styles" Target="/word/styles.xml" Id="R1c52b0b66b3c4e79" /><Relationship Type="http://schemas.openxmlformats.org/officeDocument/2006/relationships/hyperlink" Target="https://meteor.aihw.gov.au/RegistrationAuthority/12" TargetMode="External" Id="R0ae134e11d8144d6" /><Relationship Type="http://schemas.openxmlformats.org/officeDocument/2006/relationships/hyperlink" Target="https://meteor.aihw.gov.au/content/657000" TargetMode="External" Id="R81edd14985f04de3" /><Relationship Type="http://schemas.openxmlformats.org/officeDocument/2006/relationships/hyperlink" Target="https://meteor.aihw.gov.au/RegistrationAuthority/12" TargetMode="External" Id="Ra5b816517a024969" /><Relationship Type="http://schemas.openxmlformats.org/officeDocument/2006/relationships/hyperlink" Target="https://meteor.aihw.gov.au/content/573414" TargetMode="External" Id="Rf53e701bd63a4964" /><Relationship Type="http://schemas.openxmlformats.org/officeDocument/2006/relationships/hyperlink" Target="https://meteor.aihw.gov.au/content/394305" TargetMode="External" Id="R6d43f78a64684811" /><Relationship Type="http://schemas.openxmlformats.org/officeDocument/2006/relationships/hyperlink" Target="https://meteor.aihw.gov.au/content/601562" TargetMode="External" Id="Rb38d09de7416459a" /><Relationship Type="http://schemas.openxmlformats.org/officeDocument/2006/relationships/hyperlink" Target="https://meteor.aihw.gov.au/content/394305" TargetMode="External" Id="Rfde9afd6d6d04961" /><Relationship Type="http://schemas.openxmlformats.org/officeDocument/2006/relationships/hyperlink" Target="https://meteor.aihw.gov.au/content/603645" TargetMode="External" Id="R1730b6a5f99b4e1b" /><Relationship Type="http://schemas.openxmlformats.org/officeDocument/2006/relationships/hyperlink" Target="https://meteor.aihw.gov.au/content/394305" TargetMode="External" Id="Re61c7e775daf430b" /><Relationship Type="http://schemas.openxmlformats.org/officeDocument/2006/relationships/hyperlink" Target="https://meteor.aihw.gov.au/content/585823" TargetMode="External" Id="Rf1eaf5b56b784300" /><Relationship Type="http://schemas.openxmlformats.org/officeDocument/2006/relationships/hyperlink" Target="https://meteor.aihw.gov.au/content/585844" TargetMode="External" Id="R4d6bb319574f450a" /><Relationship Type="http://schemas.openxmlformats.org/officeDocument/2006/relationships/numbering" Target="/word/numbering.xml" Id="Rfa0eb8561a6e4c51" /><Relationship Type="http://schemas.openxmlformats.org/officeDocument/2006/relationships/hyperlink" Target="https://meteor.aihw.gov.au/content/394305" TargetMode="External" Id="Rffa08888a9444c1d" /><Relationship Type="http://schemas.openxmlformats.org/officeDocument/2006/relationships/hyperlink" Target="https://meteor.aihw.gov.au/content/287007" TargetMode="External" Id="Rd66c463a263643c9" /><Relationship Type="http://schemas.openxmlformats.org/officeDocument/2006/relationships/hyperlink" Target="https://meteor.aihw.gov.au/content/394305" TargetMode="External" Id="Rb6d9102238474f9f" /><Relationship Type="http://schemas.openxmlformats.org/officeDocument/2006/relationships/hyperlink" Target="https://meteor.aihw.gov.au/content/429894" TargetMode="External" Id="R9cd0af2ce0854230" /><Relationship Type="http://schemas.openxmlformats.org/officeDocument/2006/relationships/hyperlink" Target="https://meteor.aihw.gov.au/content/394305" TargetMode="External" Id="R12748b66a26b458c" /><Relationship Type="http://schemas.openxmlformats.org/officeDocument/2006/relationships/hyperlink" Target="https://meteor.aihw.gov.au/content/573414" TargetMode="External" Id="R497bc652649d4900" /><Relationship Type="http://schemas.openxmlformats.org/officeDocument/2006/relationships/hyperlink" Target="https://meteor.aihw.gov.au/content/394305" TargetMode="External" Id="R171e646e92694e52" /><Relationship Type="http://schemas.openxmlformats.org/officeDocument/2006/relationships/hyperlink" Target="https://meteor.aihw.gov.au/content/602450" TargetMode="External" Id="Ree8f946da9e748d0" /><Relationship Type="http://schemas.openxmlformats.org/officeDocument/2006/relationships/hyperlink" Target="https://meteor.aihw.gov.au/content/394305" TargetMode="External" Id="R25c18c05fab544aa" /><Relationship Type="http://schemas.openxmlformats.org/officeDocument/2006/relationships/hyperlink" Target="https://meteor.aihw.gov.au/content/603645" TargetMode="External" Id="R5e50bdddbaac4d93" /><Relationship Type="http://schemas.openxmlformats.org/officeDocument/2006/relationships/hyperlink" Target="https://meteor.aihw.gov.au/content/394305" TargetMode="External" Id="R6ce5f524af14428f" /><Relationship Type="http://schemas.openxmlformats.org/officeDocument/2006/relationships/hyperlink" Target="https://meteor.aihw.gov.au/content/585823" TargetMode="External" Id="Rb261ea7a930d48aa" /><Relationship Type="http://schemas.openxmlformats.org/officeDocument/2006/relationships/hyperlink" Target="https://meteor.aihw.gov.au/content/394305" TargetMode="External" Id="R88e302d3857a4ed2" /><Relationship Type="http://schemas.openxmlformats.org/officeDocument/2006/relationships/hyperlink" Target="https://meteor.aihw.gov.au/content/585844" TargetMode="External" Id="R5b6e991b95704a35" /></Relationships>
</file>

<file path=word/_rels/header1.xml.rels>&#65279;<?xml version="1.0" encoding="utf-8"?><Relationships xmlns="http://schemas.openxmlformats.org/package/2006/relationships"><Relationship Type="http://schemas.openxmlformats.org/officeDocument/2006/relationships/image" Target="/media/image.png" Id="R1e78a135300d43da" /></Relationships>
</file>