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90c36825824259"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cfaf787a94735">
              <w:r>
                <w:rPr>
                  <w:rStyle w:val="Hyperlink"/>
                  <w:color w:val="244061"/>
                </w:rPr>
                <w:t xml:space="preserve">AIHW Data Quality Statements</w:t>
              </w:r>
            </w:hyperlink>
            <w:r>
              <w:rPr>
                <w:rStyle w:val="row-content"/>
                <w:color w:val="244061"/>
              </w:rPr>
              <w:t xml:space="preserve">, Superseded 22/12/2017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Four states and territories—New South Wales, Queensland, South Australia and Tasmania—provide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2015–16 financial year and point in time at 30 June 2016.</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37322a109484f76">
              <w:r>
                <w:rPr>
                  <w:rStyle w:val="Hyperlink"/>
                  <w:i/>
                </w:rPr>
                <w:t xml:space="preserve">Australian Institute of Health and Welfare Act 1987</w:t>
              </w:r>
            </w:hyperlink>
            <w:hyperlink w:history="true" r:id="R6c57dbe86b23446a">
              <w:r>
                <w:rPr>
                  <w:rStyle w:val="Hyperlink"/>
                  <w:i/>
                </w:rPr>
                <w:t xml:space="preserve">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70ac6075ea40479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c0274f7ff2b348c5">
              <w:r>
                <w:rPr>
                  <w:rStyle w:val="Hyperlink"/>
                  <w:i/>
                </w:rPr>
                <w:t xml:space="preserve">Australian Institute of Health and Welfare Act 1987</w:t>
              </w:r>
            </w:hyperlink>
            <w:r>
              <w:rPr>
                <w:rStyle w:val="row-content-rich-text"/>
              </w:rPr>
              <w:t xml:space="preserve">, in conjunction with compliance to the </w:t>
            </w:r>
            <w:hyperlink w:history="true" r:id="Rfebec0c63bab4fe6">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506ddeb23434724">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e3b72df4f2c84d32">
              <w:r>
                <w:rPr>
                  <w:rStyle w:val="Hyperlink"/>
                  <w:i/>
                </w:rPr>
                <w:t xml:space="preserve">Housing assistance in Australia</w:t>
              </w:r>
            </w:hyperlink>
            <w:r>
              <w:rPr>
                <w:rStyle w:val="row-content-rich-text"/>
              </w:rPr>
              <w:t xml:space="preserve"> reports and the Productivity Commission's annual </w:t>
            </w:r>
            <w:hyperlink w:history="true" r:id="R52332fe2f5164bea">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41f2dcdbcfce4189">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the Digital &amp; Media Communications Unit on (02) 6244 1026 or via email to </w:t>
            </w:r>
            <w:hyperlink w:history="true" r:id="R699faa608fda4cb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e957c0ad827246da">
              <w:r>
                <w:rPr>
                  <w:rStyle w:val="Hyperlink"/>
                  <w:i/>
                </w:rPr>
                <w:t xml:space="preserve">National housing and homelessness data dictionary</w:t>
              </w:r>
            </w:hyperlink>
            <w:r>
              <w:rPr>
                <w:rStyle w:val="row-content-rich-text"/>
              </w:rPr>
              <w:t xml:space="preserve"> (AIHW Cat no. HOU269).</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4 states and territories—New South Wales, Queensland, South Australia and Tasmania.</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using the receipt of a disability pension as a proxy in some states and territories.</w:t>
            </w:r>
          </w:p>
          <w:p>
            <w:pPr>
              <w:pStyle w:val="ListParagraph"/>
              <w:numPr>
                <w:ilvl w:val="0"/>
                <w:numId w:val="3"/>
              </w:numPr>
            </w:pPr>
            <w:r>
              <w:rPr>
                <w:rStyle w:val="row-content-rich-text"/>
              </w:rPr>
              <w:t xml:space="preserve">Information about disability is not reported under eligibility requirements for some programs.</w:t>
            </w:r>
          </w:p>
          <w:p>
            <w:pPr>
              <w:pStyle w:val="ListParagraph"/>
              <w:numPr>
                <w:ilvl w:val="0"/>
                <w:numId w:val="3"/>
              </w:numPr>
            </w:pPr>
            <w:r>
              <w:rPr>
                <w:rStyle w:val="row-content-rich-text"/>
              </w:rPr>
              <w:t xml:space="preserve">Indigenous status is self-identified and not reported under eligibility requirements for some programs.</w:t>
            </w:r>
          </w:p>
          <w:p>
            <w:pPr>
              <w:pStyle w:val="ListParagraph"/>
              <w:numPr>
                <w:ilvl w:val="0"/>
                <w:numId w:val="3"/>
              </w:numPr>
            </w:pPr>
            <w:r>
              <w:rPr>
                <w:rStyle w:val="row-content-rich-text"/>
              </w:rPr>
              <w:t xml:space="preserve">Most states and territories do not update income information for non-rebated households.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Estimates for Accessibility/Remoteness Index of Australia (ARIA) regions and those produced for the total of the regions may differ due to rounding.</w:t>
            </w:r>
          </w:p>
          <w:p>
            <w:pPr>
              <w:pStyle w:val="ListParagraph"/>
              <w:numPr>
                <w:ilvl w:val="0"/>
                <w:numId w:val="3"/>
              </w:numPr>
            </w:pPr>
            <w:r>
              <w:rPr>
                <w:rStyle w:val="row-content-rich-text"/>
              </w:rPr>
              <w:t xml:space="preserve">Waitlist data are reported separately for each social housing program. Where jurisdictions have an integrated waitlist (New South Wales and Queensland), applicants may be counted once irrespective of the number of programs for which they are applying.</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spacing w:after="160"/>
            </w:pPr>
            <w:r>
              <w:rPr>
                <w:rStyle w:val="row-content-rich-text"/>
                <w:b/>
              </w:rPr>
              <w:t xml:space="preserve">Queensland</w:t>
            </w:r>
          </w:p>
          <w:p>
            <w:pPr>
              <w:pStyle w:val="ListParagraph"/>
              <w:numPr>
                <w:ilvl w:val="0"/>
                <w:numId w:val="5"/>
              </w:numPr>
            </w:pPr>
            <w:r>
              <w:rPr>
                <w:rStyle w:val="row-content-rich-text"/>
              </w:rPr>
              <w:t xml:space="preserve">Individual Indigenous status of SOMIH tenants is not collected. SOMIH households are assumed to be Indigenous households.</w:t>
            </w:r>
          </w:p>
          <w:p>
            <w:pPr>
              <w:spacing w:after="160"/>
            </w:pPr>
            <w:r>
              <w:rPr>
                <w:rStyle w:val="row-content-rich-text"/>
                <w:b/>
              </w:rPr>
              <w:t xml:space="preserve">South Australia</w:t>
            </w:r>
          </w:p>
          <w:p>
            <w:pPr>
              <w:pStyle w:val="ListParagraph"/>
              <w:numPr>
                <w:ilvl w:val="0"/>
                <w:numId w:val="6"/>
              </w:numPr>
            </w:pPr>
            <w:r>
              <w:rPr>
                <w:rStyle w:val="row-content-rich-text"/>
              </w:rPr>
              <w:t xml:space="preserve">For the current reporting period, Housing SA did not supply the ‘Dwelling history’ file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The introduction of the new Housing Assessment Prioritisation System (HAPS) in June 2015 has meant that ‘reasons for greatest need’ are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8"/>
              </w:numPr>
            </w:pPr>
            <w:r>
              <w:rPr>
                <w:rStyle w:val="row-content-rich-text"/>
              </w:rPr>
              <w:t xml:space="preserve">Measurements using low income cannot be directly compared with low income figures produced prior to 2009–10 due to a change in methodology. Low income cut-offs were again revised for 2014–15 data based on ABS 2013–14 Survey of Income and Housing results. This led to substantial increases in the number of households considered to be receiving a low income. Care is therefore also required when comparing data from 2014–15 onwards with previous years.</w:t>
            </w:r>
          </w:p>
          <w:p>
            <w:pPr>
              <w:pStyle w:val="ListParagraph"/>
              <w:numPr>
                <w:ilvl w:val="0"/>
                <w:numId w:val="8"/>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8"/>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South Australia</w:t>
            </w:r>
          </w:p>
          <w:p>
            <w:pPr>
              <w:pStyle w:val="ListParagraph"/>
              <w:numPr>
                <w:ilvl w:val="0"/>
                <w:numId w:val="9"/>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0"/>
              </w:numPr>
            </w:pPr>
            <w:r>
              <w:rPr>
                <w:rStyle w:val="row-content-rich-text"/>
              </w:rPr>
              <w:t xml:space="preserve">Reasons for ‘greatest need’ data are unavailable due to the introduction of new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94c005b43540f6">
              <w:r>
                <w:rPr>
                  <w:rStyle w:val="Hyperlink"/>
                </w:rPr>
                <w:t xml:space="preserve">State Owned and Managed Indigenous Housing Data Collection, 2014-15; Quality Statement</w:t>
              </w:r>
            </w:hyperlink>
          </w:p>
          <w:p>
            <w:pPr>
              <w:pStyle w:val="registration-status"/>
              <w:spacing w:before="0" w:after="0"/>
            </w:pPr>
            <w:hyperlink w:history="true" r:id="R7278a6f9dcb64c54">
              <w:r>
                <w:rPr>
                  <w:rStyle w:val="Hyperlink"/>
                  <w:color w:val="244061"/>
                </w:rPr>
                <w:t xml:space="preserve">AIHW Data Quality Statements</w:t>
              </w:r>
            </w:hyperlink>
            <w:r>
              <w:rPr>
                <w:rStyle w:val="row-content"/>
                <w:color w:val="244061"/>
              </w:rPr>
              <w:t xml:space="preserve">, Superseded 06/01/2017</w:t>
            </w:r>
          </w:p>
          <w:p>
            <w:r>
              <w:br/>
            </w:r>
            <w:r>
              <w:rPr>
                <w:rStyle w:val="row-content"/>
              </w:rPr>
              <w:t xml:space="preserve">Has been superseded by </w:t>
            </w:r>
            <w:hyperlink w:history="true" r:id="Rb939407cc56e4bb4">
              <w:r>
                <w:rPr>
                  <w:rStyle w:val="Hyperlink"/>
                </w:rPr>
                <w:t xml:space="preserve">State Owned and Managed Indigenous Housing Data Collection, 2016–17; Quality Statement</w:t>
              </w:r>
            </w:hyperlink>
          </w:p>
          <w:p>
            <w:pPr>
              <w:pStyle w:val="registration-status"/>
              <w:spacing w:before="0" w:after="0"/>
            </w:pPr>
            <w:hyperlink w:history="true" r:id="Re9623d443c194a5d">
              <w:r>
                <w:rPr>
                  <w:rStyle w:val="Hyperlink"/>
                  <w:color w:val="244061"/>
                </w:rPr>
                <w:t xml:space="preserve">AIHW Data Quality Statements</w:t>
              </w:r>
            </w:hyperlink>
            <w:r>
              <w:rPr>
                <w:rStyle w:val="row-content"/>
                <w:color w:val="244061"/>
              </w:rPr>
              <w:t xml:space="preserve">, Superseded 02/01/2019</w:t>
            </w:r>
          </w:p>
          <w:p>
            <w:r>
              <w:br/>
            </w:r>
          </w:p>
        </w:tc>
      </w:tr>
    </w:tbl>
    <w:p>
      <w:r>
        <w:br/>
      </w:r>
    </w:p>
    <w:sectPr>
      <w:footerReference xmlns:r="http://schemas.openxmlformats.org/officeDocument/2006/relationships" w:type="default" r:id="R39b1eaddac9d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e1b75b40c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1eaddac9d4ee3" /><Relationship Type="http://schemas.openxmlformats.org/officeDocument/2006/relationships/header" Target="/word/header1.xml" Id="Rce209a369c504fcf" /><Relationship Type="http://schemas.openxmlformats.org/officeDocument/2006/relationships/settings" Target="/word/settings.xml" Id="R5ebfab51353f4308" /><Relationship Type="http://schemas.openxmlformats.org/officeDocument/2006/relationships/styles" Target="/word/styles.xml" Id="R256e0f3a169946ad" /><Relationship Type="http://schemas.openxmlformats.org/officeDocument/2006/relationships/numbering" Target="/word/numbering.xml" Id="R268584ec33cf41ce" /><Relationship Type="http://schemas.openxmlformats.org/officeDocument/2006/relationships/hyperlink" Target="https://meteor.aihw.gov.au/RegistrationAuthority/5" TargetMode="External" Id="R924cfaf787a94735" /><Relationship Type="http://schemas.openxmlformats.org/officeDocument/2006/relationships/hyperlink" Target="https://www.legislation.gov.au/Series/C2004A03450" TargetMode="External" Id="R737322a109484f76" /><Relationship Type="http://schemas.openxmlformats.org/officeDocument/2006/relationships/hyperlink" Target="http://www.comlaw.gov.au/Series/C2004A03450" TargetMode="External" Id="R6c57dbe86b23446a" /><Relationship Type="http://schemas.openxmlformats.org/officeDocument/2006/relationships/hyperlink" Target="http://www.aihw.gov.au/aihw-board/" TargetMode="External" Id="R70ac6075ea404790" /><Relationship Type="http://schemas.openxmlformats.org/officeDocument/2006/relationships/hyperlink" Target="https://www.legislation.gov.au/Series/C2004A03450" TargetMode="External" Id="Rc0274f7ff2b348c5" /><Relationship Type="http://schemas.openxmlformats.org/officeDocument/2006/relationships/hyperlink" Target="https://www.legislation.gov.au/Series/C2004A03712" TargetMode="External" Id="Rfebec0c63bab4fe6" /><Relationship Type="http://schemas.openxmlformats.org/officeDocument/2006/relationships/hyperlink" Target="http://www.aihw.gov.au/" TargetMode="External" Id="R7506ddeb23434724" /><Relationship Type="http://schemas.openxmlformats.org/officeDocument/2006/relationships/hyperlink" Target="http://www.aihw.gov.au/housing-assistance/" TargetMode="External" Id="Re3b72df4f2c84d32" /><Relationship Type="http://schemas.openxmlformats.org/officeDocument/2006/relationships/hyperlink" Target="http://www.pc.gov.au/research/ongoing/report-on-government-services" TargetMode="External" Id="R52332fe2f5164bea" /><Relationship Type="http://schemas.openxmlformats.org/officeDocument/2006/relationships/hyperlink" Target="https://datarequest.aihw.gov.au/" TargetMode="External" Id="R41f2dcdbcfce4189" /><Relationship Type="http://schemas.openxmlformats.org/officeDocument/2006/relationships/hyperlink" Target="mailto:info@aihw.gov.au" TargetMode="External" Id="R699faa608fda4cba" /><Relationship Type="http://schemas.openxmlformats.org/officeDocument/2006/relationships/hyperlink" Target="http://www.aihw.gov.au/publication-detail/?id=60129543695" TargetMode="External" Id="Re957c0ad827246da" /><Relationship Type="http://schemas.openxmlformats.org/officeDocument/2006/relationships/hyperlink" Target="https://meteor.aihw.gov.au/content/628209" TargetMode="External" Id="R4d94c005b43540f6" /><Relationship Type="http://schemas.openxmlformats.org/officeDocument/2006/relationships/hyperlink" Target="https://meteor.aihw.gov.au/RegistrationAuthority/5" TargetMode="External" Id="R7278a6f9dcb64c54" /><Relationship Type="http://schemas.openxmlformats.org/officeDocument/2006/relationships/hyperlink" Target="https://meteor.aihw.gov.au/content/677605" TargetMode="External" Id="Rb939407cc56e4bb4" /><Relationship Type="http://schemas.openxmlformats.org/officeDocument/2006/relationships/hyperlink" Target="https://meteor.aihw.gov.au/RegistrationAuthority/5" TargetMode="External" Id="Re9623d443c194a5d" /></Relationships>
</file>

<file path=word/_rels/header1.xml.rels>&#65279;<?xml version="1.0" encoding="utf-8"?><Relationships xmlns="http://schemas.openxmlformats.org/package/2006/relationships"><Relationship Type="http://schemas.openxmlformats.org/officeDocument/2006/relationships/image" Target="/media/image.png" Id="R1a8e1b75b40c4c81" /></Relationships>
</file>