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2184c9c3dc4547"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bd80fa44614203">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69fcffd559b44e22">
              <w:r>
                <w:rPr>
                  <w:rStyle w:val="Hyperlink"/>
                  <w:b/>
                </w:rPr>
                <w:t xml:space="preserve">hypertensive disorder during pregnancy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selected when reporting on this item. For example, for a woman who has preeclampsia superimposed on chronic hypertension, select both code 2 and code 4. For a woman who develops gestational hypertension which progresses to eclampsia, select codes 1 and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(National Centre for Classification in Health, 2010).</w:t>
            </w:r>
          </w:p>
          <w:p>
            <w:pPr>
              <w:spacing w:after="160"/>
            </w:pPr>
            <w:r>
              <w:rPr>
                <w:rStyle w:val="row-content-rich-text"/>
              </w:rPr>
              <w:t xml:space="preserve">CODE 2     Preeclampsia</w:t>
            </w:r>
          </w:p>
          <w:p>
            <w:pPr>
              <w:spacing w:after="160"/>
            </w:pPr>
            <w:r>
              <w:rPr>
                <w:rStyle w:val="row-content-rich-text"/>
              </w:rPr>
              <w:t xml:space="preserve">Preeclampsia is a multi-system disorder unique to human pregnancy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Women with HELLP (Haemolysis, Elevated Liver Enzymes, Low Platelet count) syndrome, which is a variant of preeclampsia, are to be included under this code for preeclampsia.</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 - '...the new onset of hypertension after 20 weeks' gestation without any maternal or fetal features of preeclampsia...' - 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&gt; 140 mmHg systolic and/or &gt; 90mm diastolic confirmed before pregnancy or before 20 completed weeks gestation without a known cause. It may also be diagnosed in women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spacing w:after="160"/>
            </w:pPr>
            <w:r>
              <w:rPr>
                <w:rStyle w:val="row-content-rich-text"/>
              </w:rPr>
              <w:t xml:space="preserve">• Chronic kidney disease, e.g. glomerulonephritis, reflux nephropathy, and adult polycystic kidney disease.</w:t>
            </w:r>
          </w:p>
          <w:p>
            <w:pPr>
              <w:spacing w:after="160"/>
            </w:pPr>
            <w:r>
              <w:rPr>
                <w:rStyle w:val="row-content-rich-text"/>
              </w:rPr>
              <w:t xml:space="preserve">• Renal artery stenosis</w:t>
            </w:r>
          </w:p>
          <w:p>
            <w:pPr>
              <w:spacing w:after="160"/>
            </w:pPr>
            <w:r>
              <w:rPr>
                <w:rStyle w:val="row-content-rich-text"/>
              </w:rPr>
              <w:t xml:space="preserve">• Systemic disease with renal involvement, e.g. diabetes mellitus, systemic lupus erythematosus.</w:t>
            </w:r>
          </w:p>
          <w:p>
            <w:pPr>
              <w:spacing w:after="160"/>
            </w:pPr>
            <w:r>
              <w:rPr>
                <w:rStyle w:val="row-content-rich-text"/>
              </w:rPr>
              <w:t xml:space="preserve">• Endocrine disorders, e.g. phaeochromocytoma, Cushing syndrome and primary hyperaldosteronism.</w:t>
            </w:r>
          </w:p>
          <w:p>
            <w:pPr>
              <w:spacing w:after="160"/>
            </w:pPr>
            <w:r>
              <w:rPr>
                <w:rStyle w:val="row-content-rich-text"/>
              </w:rPr>
              <w:t xml:space="preserve">• Coarctation of the aorta.</w:t>
            </w:r>
          </w:p>
          <w:p>
            <w:pPr/>
            <w:r>
              <w:rPr>
                <w:rStyle w:val="row-content-rich-text"/>
              </w:rPr>
              <w:t xml:space="preserve">In the absence of any of the above conditions it is likely that a woman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for eclampsia is to be based on the ICD-10-AM/ACHI/ACS (National Centre for Classification in Health, 2010).</w:t>
            </w:r>
          </w:p>
          <w:p>
            <w:pPr>
              <w:spacing w:after="160"/>
            </w:pPr>
            <w:r>
              <w:rPr>
                <w:rStyle w:val="row-content-rich-text"/>
              </w:rPr>
              <w:t xml:space="preserve">For all other value domains, diagnosis is to be based on Society of Obstetric Medicine of Australia and New Zealand (SOMANZ) Guidelines for the Management of Hypertensive Disorders of Pregnancy.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The 10-AM Commandments (Coding Matters) in NCCH (National Centre for Classification in Health) 2010. The International Statistical Classification of Diseases and Related Health Problems, 10th Revision, Australian Modification (ICD-10-AM), Australian Classification of Health Interventions (ACHI) and Australian Coding Standards (ACS), Seventh edition. Sydney: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49b2b1f7ec432c">
              <w:r>
                <w:rPr>
                  <w:rStyle w:val="Hyperlink"/>
                </w:rPr>
                <w:t xml:space="preserve">Type of hypertensive disorder during pregnancy code N</w:t>
              </w:r>
            </w:hyperlink>
          </w:p>
          <w:p>
            <w:pPr>
              <w:pStyle w:val="registration-status"/>
              <w:spacing w:before="0" w:after="0"/>
            </w:pPr>
            <w:hyperlink w:history="true" r:id="Rd1d66688d5e34188">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4b7e63ab64924a2d">
              <w:r>
                <w:rPr>
                  <w:rStyle w:val="Hyperlink"/>
                </w:rPr>
                <w:t xml:space="preserve">Type of hypertensive disorder during pregnancy code N</w:t>
              </w:r>
            </w:hyperlink>
          </w:p>
          <w:p>
            <w:pPr>
              <w:pStyle w:val="registration-status"/>
              <w:spacing w:before="0" w:after="0"/>
            </w:pPr>
            <w:hyperlink w:history="true" r:id="Rec7074838f62404e">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67e24843cc44ca">
              <w:r>
                <w:rPr>
                  <w:rStyle w:val="Hyperlink"/>
                </w:rPr>
                <w:t xml:space="preserve">Female—type of hypertensive disorder during pregnancy, code N</w:t>
              </w:r>
            </w:hyperlink>
          </w:p>
          <w:p>
            <w:pPr>
              <w:pStyle w:val="registration-status"/>
              <w:spacing w:before="0" w:after="0"/>
            </w:pPr>
            <w:hyperlink w:history="true" r:id="R6117d3f1d55c49eb">
              <w:r>
                <w:rPr>
                  <w:rStyle w:val="Hyperlink"/>
                  <w:color w:val="244061"/>
                </w:rPr>
                <w:t xml:space="preserve">Health</w:t>
              </w:r>
            </w:hyperlink>
            <w:r>
              <w:rPr>
                <w:rStyle w:val="row-content"/>
                <w:color w:val="244061"/>
              </w:rPr>
              <w:t xml:space="preserve">, Superseded 02/08/2017</w:t>
            </w:r>
          </w:p>
          <w:p>
            <w:r>
              <w:br/>
            </w:r>
          </w:p>
        </w:tc>
      </w:tr>
    </w:tbl>
    <w:p>
      <w:r>
        <w:br/>
      </w:r>
    </w:p>
    <w:sectPr>
      <w:footerReference xmlns:r="http://schemas.openxmlformats.org/officeDocument/2006/relationships" w:type="default" r:id="R6d3aef83989748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655552</w:t>
    </w:r>
    <w:r>
      <w:ptab w:alignment="right" w:relativeTo="margin" w:leader="none"/>
    </w:r>
    <w:r>
      <w:t xml:space="preserve">Page </w:t>
    </w:r>
    <w:fldSimple w:instr="PAGE"/>
    <w:r>
      <w:t xml:space="preserve"> of </w:t>
    </w:r>
    <w:fldSimple w:instr="NUMPAGES"/>
    <w:r>
      <w:ptab w:alignment="left" w:relativeTo="margin" w:leader="none"/>
    </w:r>
    <w:r>
      <w:t>Downloaded 20-Jun-2024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929eb52824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3aef8398974802" /><Relationship Type="http://schemas.openxmlformats.org/officeDocument/2006/relationships/header" Target="/word/header1.xml" Id="Rfb1eb56bbff84c1e" /><Relationship Type="http://schemas.openxmlformats.org/officeDocument/2006/relationships/settings" Target="/word/settings.xml" Id="Rc6e7f491d29d4957" /><Relationship Type="http://schemas.openxmlformats.org/officeDocument/2006/relationships/styles" Target="/word/styles.xml" Id="R87157f7d2b7349f0" /><Relationship Type="http://schemas.openxmlformats.org/officeDocument/2006/relationships/hyperlink" Target="https://meteor.aihw.gov.au/RegistrationAuthority/12" TargetMode="External" Id="R46bd80fa44614203" /><Relationship Type="http://schemas.openxmlformats.org/officeDocument/2006/relationships/hyperlink" Target="https://meteor.aihw.gov.au/content/655620" TargetMode="External" Id="R69fcffd559b44e22" /><Relationship Type="http://schemas.openxmlformats.org/officeDocument/2006/relationships/hyperlink" Target="https://meteor.aihw.gov.au/content/504545" TargetMode="External" Id="R4749b2b1f7ec432c" /><Relationship Type="http://schemas.openxmlformats.org/officeDocument/2006/relationships/hyperlink" Target="https://meteor.aihw.gov.au/RegistrationAuthority/12" TargetMode="External" Id="Rd1d66688d5e34188" /><Relationship Type="http://schemas.openxmlformats.org/officeDocument/2006/relationships/hyperlink" Target="https://meteor.aihw.gov.au/content/668979" TargetMode="External" Id="R4b7e63ab64924a2d" /><Relationship Type="http://schemas.openxmlformats.org/officeDocument/2006/relationships/hyperlink" Target="https://meteor.aihw.gov.au/RegistrationAuthority/12" TargetMode="External" Id="Rec7074838f62404e" /><Relationship Type="http://schemas.openxmlformats.org/officeDocument/2006/relationships/hyperlink" Target="https://meteor.aihw.gov.au/content/655537" TargetMode="External" Id="R8c67e24843cc44ca" /><Relationship Type="http://schemas.openxmlformats.org/officeDocument/2006/relationships/hyperlink" Target="https://meteor.aihw.gov.au/RegistrationAuthority/12" TargetMode="External" Id="R6117d3f1d55c49eb" /></Relationships>
</file>

<file path=word/_rels/header1.xml.rels>&#65279;<?xml version="1.0" encoding="utf-8"?><Relationships xmlns="http://schemas.openxmlformats.org/package/2006/relationships"><Relationship Type="http://schemas.openxmlformats.org/officeDocument/2006/relationships/image" Target="/media/image.png" Id="R5a929eb528244fad" /></Relationships>
</file>