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a7314728b54d75"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2014–15 (pilot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a0291da2546f5">
              <w:r>
                <w:rPr>
                  <w:rStyle w:val="Hyperlink"/>
                  <w:color w:val="244061"/>
                </w:rPr>
                <w:t xml:space="preserve">AIHW Data Quality Statements</w:t>
              </w:r>
            </w:hyperlink>
            <w:r>
              <w:rPr>
                <w:rStyle w:val="row-content"/>
                <w:color w:val="244061"/>
              </w:rPr>
              <w:t xml:space="preserve">, Superseded 02/08/2017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1af0b2fb4da54719">
              <w:r>
                <w:rPr>
                  <w:rStyle w:val="Hyperlink"/>
                </w:rPr>
                <w:t xml:space="preserve">National Radiotherapy Waiting Times Database (NRWTD)</w:t>
              </w:r>
            </w:hyperlink>
            <w:r>
              <w:rPr>
                <w:rStyle w:val="row-content-rich-text"/>
              </w:rPr>
              <w:t xml:space="preserve"> is a compilation of data supplied to the Australian Institute of Health and Welfare (AIHW) based on the </w:t>
            </w:r>
            <w:hyperlink w:history="true" r:id="R8b7c846e6b334bd9">
              <w:r>
                <w:rPr>
                  <w:rStyle w:val="Hyperlink"/>
                </w:rPr>
                <w:t xml:space="preserve">Radiotherapy waiting times DSS 2013-15</w:t>
              </w:r>
            </w:hyperlink>
            <w:r>
              <w:rPr>
                <w:rStyle w:val="row-content-rich-text"/>
              </w:rPr>
              <w:t xml:space="preserve"> which was collected from participating radiotherapy providers for the period 2014–15 as the second year of a pilot collection. 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as follows:</w:t>
            </w:r>
          </w:p>
          <w:p>
            <w:pPr>
              <w:pStyle w:val="ListParagraph"/>
              <w:numPr>
                <w:ilvl w:val="0"/>
                <w:numId w:val="2"/>
              </w:numPr>
            </w:pPr>
            <w:r>
              <w:rPr>
                <w:rStyle w:val="row-content-rich-text"/>
              </w:rPr>
              <w:t xml:space="preserve">Establishment identifier </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 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8th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rPr>
              <w:t xml:space="preserve">Summary of key issues:</w:t>
            </w:r>
          </w:p>
          <w:p>
            <w:pPr/>
            <w:r>
              <w:rPr>
                <w:rStyle w:val="row-content-rich-text"/>
              </w:rPr>
              <w:t xml:space="preserve">Reporting by radiotherapy providers for this second pilot year of collection was not mandatory, however full coverage of public providers was achieved, and a high proportion of private providers chose to provide data. The retrospective and pilot nature of this collection increases the likelihood that definitions such as the </w:t>
            </w:r>
            <w:r>
              <w:rPr>
                <w:rStyle w:val="row-content-rich-text"/>
                <w:i/>
              </w:rPr>
              <w:t xml:space="preserve">Ready-for-care date </w:t>
            </w:r>
            <w:r>
              <w:rPr>
                <w:rStyle w:val="row-content-rich-text"/>
              </w:rPr>
              <w:t xml:space="preserve">and </w:t>
            </w:r>
            <w:r>
              <w:rPr>
                <w:rStyle w:val="row-content-rich-text"/>
                <w:i/>
              </w:rPr>
              <w:t xml:space="preserve">Radiotherapy start date</w:t>
            </w:r>
            <w:r>
              <w:rPr>
                <w:rStyle w:val="row-content-rich-text"/>
              </w:rPr>
              <w:t xml:space="preserve">, that clinicians and providers use, may vary from the agreed DSS definition. These differences cannot be resolved or compensated for in this retrospective collection. This may particularly affect comparisons of data across states/territories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set up the AIHW as a major national agency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that a management board governs, and it is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(Commonwealth), ensures that the data collections that the AIHW manages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2118c4ad6f24c01">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spacing w:after="160"/>
            </w:pPr>
            <w:r>
              <w:rPr>
                <w:rStyle w:val="row-content-rich-text"/>
              </w:rPr>
              <w:t xml:space="preserve"> </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 This includes records for all patients who started a course of radiotherapy between 1 July 2014 and 30 June 2015. These data were first published in October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 data from this collection on the AIHW website at: </w:t>
            </w:r>
            <w:hyperlink w:history="true" r:id="R0e801c049b1e42f7">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RWT DSS is published in the AIHW’s Metadata Online Registry (METeOR).</w:t>
            </w:r>
          </w:p>
          <w:p>
            <w:pPr>
              <w:spacing w:after="160"/>
            </w:pPr>
            <w:r>
              <w:rPr>
                <w:rStyle w:val="row-content-rich-text"/>
              </w:rPr>
              <w:t xml:space="preserve">METeOR can be accessed at the following AIHW web address:</w:t>
            </w:r>
          </w:p>
          <w:p>
            <w:hyperlink w:history="true" r:id="R7cc073e506b4408d">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radiotherapy waiting times DSS is to collect information about the times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DSS is patients who began a course of radiotherapy in the reporting period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quality issues were identified, but it is not possible to quantify impact.</w:t>
            </w:r>
          </w:p>
          <w:p>
            <w:pPr>
              <w:pStyle w:val="ListParagraph"/>
              <w:numPr>
                <w:ilvl w:val="0"/>
                <w:numId w:val="3"/>
              </w:numPr>
            </w:pPr>
            <w:r>
              <w:rPr>
                <w:rStyle w:val="row-content-rich-text"/>
              </w:rPr>
              <w:t xml:space="preserve">For 2014–15, all public radiotherapy centres provided data for the RWT DSS. Participation by private providers was lower—76% of private providers are included in this collection; therefore, the reported data may not be representative of that sector as a whole. A small proportion of sites were unable to provide waiting time data, but did provide other requested data.</w:t>
            </w:r>
          </w:p>
          <w:p>
            <w:pPr>
              <w:pStyle w:val="ListParagraph"/>
              <w:numPr>
                <w:ilvl w:val="0"/>
                <w:numId w:val="3"/>
              </w:numPr>
            </w:pPr>
            <w:r>
              <w:rPr>
                <w:rStyle w:val="row-content-rich-text"/>
              </w:rPr>
              <w:t xml:space="preserve">This is a pilot collection—and the data were requested retrospectively—so some providers may not have recorded all data items or may not have recorded items according to agreed definitions. This may particularly affect assignment of ready-for-care dates which are used to calculate waiting times.</w:t>
            </w:r>
          </w:p>
          <w:p>
            <w:pPr>
              <w:pStyle w:val="ListParagraph"/>
              <w:numPr>
                <w:ilvl w:val="0"/>
                <w:numId w:val="3"/>
              </w:numPr>
            </w:pPr>
            <w:r>
              <w:rPr>
                <w:rStyle w:val="row-content-rich-text"/>
              </w:rPr>
              <w:t xml:space="preserve">Providers are primarily responsible for the quality of the data they provide. However, the AIHW undertakes extensive validations on receipt of data. Data are checked for valid values and logical consistency. Potential errors are queried with jurisdictions at the time data are loaded, and corrections and resubmissions may be made in response to these edit queries. The AIHW does not adjust data to account for possible data errors or missing or incorrect values. However, negative waiting times were disregarded in the calculation of waiting times.</w:t>
            </w:r>
          </w:p>
          <w:p>
            <w:pPr>
              <w:pStyle w:val="ListParagraph"/>
              <w:numPr>
                <w:ilvl w:val="0"/>
                <w:numId w:val="3"/>
              </w:numPr>
            </w:pPr>
            <w:r>
              <w:rPr>
                <w:rStyle w:val="row-content-rich-text"/>
              </w:rPr>
              <w:t xml:space="preserve">Victoria and Western Australia have noted that there is likely to be some under-count of emergency cases in their jurisdictions.Some codes have been mapped by data providers from local coding systems, such as Emergency status in Victoria. This practice has led to possible under-identification of emergency cases in Victoria.Some providers were unable to code patients’ area of usual residence using full address details to the required SA2 code. In these cases, providers have, in most cases, assigned the SA2 code based on the mapping from postcode to SA2 correspondances published by the ABS. The ABS has characterised the overall quality rating for this mapping as ‘poor’. This means that the ABS expects there is a high likelihood the correspondence will not convert data overall accurately and that the converted data should be used with caution as it may not reflect the actual characteristics of many of the geographic regions involved.</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(34%); where Indigenous status was reported, the quality of the data is unknown.</w:t>
            </w:r>
          </w:p>
          <w:p>
            <w:pPr>
              <w:pStyle w:val="ListParagraph"/>
              <w:numPr>
                <w:ilvl w:val="0"/>
                <w:numId w:val="3"/>
              </w:numPr>
            </w:pPr>
            <w:r>
              <w:rPr>
                <w:rStyle w:val="row-content-rich-text"/>
              </w:rPr>
              <w:t xml:space="preserve">Data reported for principal diagnosis may not be a reflection of the incidence of certain cancers in the Australian population. The differences in principal diagnoses activity in this report may indicate data quality issues, for example, where some providers may be reprting the primary site of the cancer, rather than the diagnosis code associated with the health condition being treated in the specific course of radiotherapy.</w:t>
            </w:r>
          </w:p>
          <w:p>
            <w:pPr>
              <w:pStyle w:val="ListParagraph"/>
              <w:numPr>
                <w:ilvl w:val="0"/>
                <w:numId w:val="3"/>
              </w:numPr>
            </w:pPr>
            <w:r>
              <w:rPr>
                <w:rStyle w:val="row-content-rich-text"/>
              </w:rPr>
              <w:t xml:space="preserve">In 2014–15, data for public and private service providers in Victoria was provided on a different basis to other data suppliers—Victoria provided data for courses of radiotherapy that ended (not started) in the collection period. As these records are considered to be broadly equivalent to data that other data suppliers submitted, all data reported by Victoria have been included in this report. However, some care is needed in comparing 2014–15 data to 2013–14 data for Victorian public providers as, although the same issue occurred in the 2013–14 data, there was an under-count of courses for Victorian public providers in that year’s data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understated due to technical issues with the data extraction process. Waiting times in South Australia may also have been affected by data quality issues associated with the setting of ready-for-care dates, particularly for breast and prostate cancers.</w:t>
            </w:r>
          </w:p>
          <w:p>
            <w:pPr>
              <w:pStyle w:val="ListParagraph"/>
              <w:numPr>
                <w:ilvl w:val="0"/>
                <w:numId w:val="3"/>
              </w:numPr>
            </w:pPr>
            <w:r>
              <w:rPr>
                <w:rStyle w:val="row-content-rich-text"/>
              </w:rPr>
              <w:t xml:space="preserve">Western Australia provided waiting times data for 1 public radiotherapy site only. To protect the confidentiality of that service provider, waiting times have not been published for Western Australia, at their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 is the second pilot year of collection of radiotherapy waiting times data. There were no changes to the metadata upon which the data collections are based and the 2013–14 and 2014–15 data collections are broadly comparable. However, the following differences should be noted:</w:t>
            </w:r>
          </w:p>
          <w:p>
            <w:pPr>
              <w:pStyle w:val="ListParagraph"/>
              <w:numPr>
                <w:ilvl w:val="0"/>
                <w:numId w:val="4"/>
              </w:numPr>
            </w:pPr>
            <w:r>
              <w:rPr>
                <w:rStyle w:val="row-content-rich-text"/>
              </w:rPr>
              <w:t xml:space="preserve">there was substantially increased participation by private providers in the 2014–15 data collection, compared with the 2013–14 data collection </w:t>
            </w:r>
          </w:p>
          <w:p>
            <w:pPr>
              <w:pStyle w:val="ListParagraph"/>
              <w:numPr>
                <w:ilvl w:val="0"/>
                <w:numId w:val="4"/>
              </w:numPr>
            </w:pPr>
            <w:r>
              <w:rPr>
                <w:rStyle w:val="row-content-rich-text"/>
              </w:rPr>
              <w:t xml:space="preserve">as mentioned previously, some care is needed in comparing 2014–15 data to 2013–14 data for Victorian public providers as there was an under-count of courses for Victorian public providers in that year’s data due to the non-inclusion of records where courses started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dd678ecd4847fe">
              <w:r>
                <w:rPr>
                  <w:rStyle w:val="Hyperlink"/>
                </w:rPr>
                <w:t xml:space="preserve">National Radiotherapy Waiting Times Database, 2013‒14; Quality Statement</w:t>
              </w:r>
            </w:hyperlink>
          </w:p>
          <w:p>
            <w:pPr>
              <w:spacing w:before="0" w:after="0"/>
            </w:pPr>
            <w:r>
              <w:rPr>
                <w:rStyle w:val="row-content"/>
                <w:color w:val="244061"/>
              </w:rPr>
              <w:t xml:space="preserve">       </w:t>
            </w:r>
            <w:hyperlink w:history="true" r:id="R64e1cb05419b4d3c">
              <w:r>
                <w:rPr>
                  <w:rStyle w:val="Hyperlink"/>
                  <w:color w:val="244061"/>
                </w:rPr>
                <w:t xml:space="preserve">AIHW Data Quality Statements</w:t>
              </w:r>
            </w:hyperlink>
            <w:r>
              <w:rPr>
                <w:rStyle w:val="row-content"/>
                <w:color w:val="244061"/>
              </w:rPr>
              <w:t xml:space="preserve">, Superseded 02/11/2016</w:t>
            </w:r>
          </w:p>
          <w:p>
            <w:r>
              <w:br/>
            </w:r>
            <w:r>
              <w:rPr>
                <w:rStyle w:val="row-content"/>
              </w:rPr>
              <w:t xml:space="preserve">Has been superseded by </w:t>
            </w:r>
            <w:hyperlink w:history="true" r:id="R500118fecead4873">
              <w:r>
                <w:rPr>
                  <w:rStyle w:val="Hyperlink"/>
                </w:rPr>
                <w:t xml:space="preserve">National Radiotherapy Waiting Times Database, 2015–16; Quality Statement</w:t>
              </w:r>
            </w:hyperlink>
          </w:p>
          <w:p>
            <w:pPr>
              <w:spacing w:before="0" w:after="0"/>
            </w:pPr>
            <w:r>
              <w:rPr>
                <w:rStyle w:val="row-content"/>
                <w:color w:val="244061"/>
              </w:rPr>
              <w:t xml:space="preserve">       </w:t>
            </w:r>
            <w:hyperlink w:history="true" r:id="R5a86e5f9970f47aa">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9552159b02684dba">
              <w:r>
                <w:rPr>
                  <w:rStyle w:val="Hyperlink"/>
                </w:rPr>
                <w:t xml:space="preserve">Radiotherapy waiting times DSS 2013-15</w:t>
              </w:r>
            </w:hyperlink>
          </w:p>
          <w:p>
            <w:pPr>
              <w:spacing w:before="0" w:after="0"/>
            </w:pPr>
            <w:r>
              <w:rPr>
                <w:rStyle w:val="row-content"/>
                <w:color w:val="244061"/>
              </w:rPr>
              <w:t xml:space="preserve">       </w:t>
            </w:r>
            <w:hyperlink w:history="true" r:id="R53215160a9224b35">
              <w:r>
                <w:rPr>
                  <w:rStyle w:val="Hyperlink"/>
                  <w:color w:val="244061"/>
                </w:rPr>
                <w:t xml:space="preserve">Health</w:t>
              </w:r>
            </w:hyperlink>
            <w:r>
              <w:rPr>
                <w:rStyle w:val="row-content"/>
                <w:color w:val="244061"/>
              </w:rPr>
              <w:t xml:space="preserve">, Superseded 13/11/2013</w:t>
            </w:r>
          </w:p>
          <w:p>
            <w:r>
              <w:br/>
            </w:r>
          </w:p>
        </w:tc>
      </w:tr>
    </w:tbl>
    <w:p>
      <w:r>
        <w:br/>
      </w:r>
    </w:p>
    <w:sectPr>
      <w:footerReference xmlns:r="http://schemas.openxmlformats.org/officeDocument/2006/relationships" w:type="default" r:id="R734bf7b852cb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648146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59c7cba13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bf7b852cb43e2" /><Relationship Type="http://schemas.openxmlformats.org/officeDocument/2006/relationships/header" Target="/word/header1.xml" Id="Rfffb5dbaeb3448f0" /><Relationship Type="http://schemas.openxmlformats.org/officeDocument/2006/relationships/settings" Target="/word/settings.xml" Id="R56a1ecf70bcc404e" /><Relationship Type="http://schemas.openxmlformats.org/officeDocument/2006/relationships/styles" Target="/word/styles.xml" Id="R398b92d3491a4be6" /><Relationship Type="http://schemas.openxmlformats.org/officeDocument/2006/relationships/hyperlink" Target="https://meteor.aihw.gov.au/RegistrationAuthority/5" TargetMode="External" Id="R5c1a0291da2546f5" /><Relationship Type="http://schemas.openxmlformats.org/officeDocument/2006/relationships/hyperlink" Target="https://meteor.aihw.gov.au/content/598445" TargetMode="External" Id="R1af0b2fb4da54719" /><Relationship Type="http://schemas.openxmlformats.org/officeDocument/2006/relationships/hyperlink" Target="https://meteor.aihw.gov.au/content/517220" TargetMode="External" Id="R8b7c846e6b334bd9" /><Relationship Type="http://schemas.openxmlformats.org/officeDocument/2006/relationships/numbering" Target="/word/numbering.xml" Id="Rf26132982f0245a9" /><Relationship Type="http://schemas.openxmlformats.org/officeDocument/2006/relationships/hyperlink" Target="http://www.aihw.gov.au" TargetMode="External" Id="Rd2118c4ad6f24c01" /><Relationship Type="http://schemas.openxmlformats.org/officeDocument/2006/relationships/hyperlink" Target="http://www.aihw.gov.au" TargetMode="External" Id="R0e801c049b1e42f7" /><Relationship Type="http://schemas.openxmlformats.org/officeDocument/2006/relationships/hyperlink" Target="https://meteor.aihw.gov.au/content/517220" TargetMode="External" Id="R7cc073e506b4408d" /><Relationship Type="http://schemas.openxmlformats.org/officeDocument/2006/relationships/hyperlink" Target="https://meteor.aihw.gov.au/content/611518" TargetMode="External" Id="R81dd678ecd4847fe" /><Relationship Type="http://schemas.openxmlformats.org/officeDocument/2006/relationships/hyperlink" Target="https://meteor.aihw.gov.au/RegistrationAuthority/5" TargetMode="External" Id="R64e1cb05419b4d3c" /><Relationship Type="http://schemas.openxmlformats.org/officeDocument/2006/relationships/hyperlink" Target="https://meteor.aihw.gov.au/content/668535" TargetMode="External" Id="R500118fecead4873" /><Relationship Type="http://schemas.openxmlformats.org/officeDocument/2006/relationships/hyperlink" Target="https://meteor.aihw.gov.au/RegistrationAuthority/5" TargetMode="External" Id="R5a86e5f9970f47aa" /><Relationship Type="http://schemas.openxmlformats.org/officeDocument/2006/relationships/hyperlink" Target="https://meteor.aihw.gov.au/content/517220" TargetMode="External" Id="R9552159b02684dba" /><Relationship Type="http://schemas.openxmlformats.org/officeDocument/2006/relationships/hyperlink" Target="https://meteor.aihw.gov.au/RegistrationAuthority/12" TargetMode="External" Id="R53215160a9224b35" /></Relationships>
</file>

<file path=word/_rels/header1.xml.rels>&#65279;<?xml version="1.0" encoding="utf-8"?><Relationships xmlns="http://schemas.openxmlformats.org/package/2006/relationships"><Relationship Type="http://schemas.openxmlformats.org/officeDocument/2006/relationships/image" Target="/media/image.png" Id="R4b759c7cba1348cc" /></Relationships>
</file>