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659d20c2b741e7"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2014–15: National Community Mental Health Care Database,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2014–15: National Community Mental Health Care Database,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9523bb8cc647b0">
              <w:r>
                <w:rPr>
                  <w:rStyle w:val="Hyperlink"/>
                  <w:color w:val="244061"/>
                </w:rPr>
                <w:t xml:space="preserve">AIHW Data Quality Statements</w:t>
              </w:r>
            </w:hyperlink>
            <w:r>
              <w:rPr>
                <w:rStyle w:val="row-content"/>
                <w:color w:val="244061"/>
              </w:rPr>
              <w:t xml:space="preserve">, Superseded 13/10/2017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 </w:t>
            </w:r>
          </w:p>
          <w:p>
            <w:pPr>
              <w:pStyle w:val="ListParagraph"/>
              <w:numPr>
                <w:ilvl w:val="0"/>
                <w:numId w:val="2"/>
              </w:numPr>
            </w:pPr>
            <w:r>
              <w:rPr>
                <w:rStyle w:val="row-content-rich-text"/>
              </w:rPr>
              <w:t xml:space="preserve">There is some variation in the types of service contacts included in jurisdictional data. For example, some jurisdictions may include written correspondence as service contacts while others do not. </w:t>
            </w:r>
          </w:p>
          <w:p>
            <w:pPr>
              <w:pStyle w:val="ListParagraph"/>
              <w:numPr>
                <w:ilvl w:val="0"/>
                <w:numId w:val="2"/>
              </w:numPr>
            </w:pPr>
            <w:r>
              <w:rPr>
                <w:rStyle w:val="row-content-rich-text"/>
              </w:rPr>
              <w:t xml:space="preserve">Data for the Australian Capital Territory were not published for the 2014–15 collection period.</w:t>
            </w:r>
          </w:p>
          <w:p>
            <w:pPr>
              <w:pStyle w:val="ListParagraph"/>
              <w:numPr>
                <w:ilvl w:val="0"/>
                <w:numId w:val="2"/>
              </w:numPr>
            </w:pPr>
            <w:r>
              <w:rPr>
                <w:rStyle w:val="row-content-rich-text"/>
              </w:rPr>
              <w:t xml:space="preserve">The Indigenous status data should be interpreted with caution due to the varying quality of Indigenous identification across jurisdictions reporting to the database. While all jurisdictions consider the quality of Indigenous status data to be acceptable, most acknowledge that further improvement is required. Indigenous status is missing for 8.0% of contacts in the 2014–15 NCMHCD. </w:t>
            </w:r>
          </w:p>
          <w:p>
            <w:pPr>
              <w:pStyle w:val="ListParagraph"/>
              <w:numPr>
                <w:ilvl w:val="0"/>
                <w:numId w:val="2"/>
              </w:numPr>
            </w:pPr>
            <w:r>
              <w:rPr>
                <w:rStyle w:val="row-content-rich-text"/>
              </w:rPr>
              <w:t xml:space="preserve">Data are reported by the jurisdiction that delivered the service and therefore may include people receiving services in one jurisdiction who reside in another. These cross-border flows are particularly relevant when interpreting ACT remoteness data. </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  </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 </w:t>
            </w:r>
            <w:r>
              <w:rPr>
                <w:rStyle w:val="row-content-rich-text"/>
                <w:b/>
              </w:rPr>
              <w:t xml:space="preserve"> </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528b4dc59d6642f1">
              <w:r>
                <w:rPr>
                  <w:rStyle w:val="Hyperlink"/>
                </w:rPr>
                <w:t xml:space="preserve">link</w:t>
              </w:r>
            </w:hyperlink>
            <w:r>
              <w:rPr>
                <w:rStyle w:val="row-content-rich-text"/>
              </w:rPr>
              <w:t xml:space="preserve">). The NCMHCD includes data for each year from 2000–01 to 2014–15.</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 </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b23bc34e7d454a5a">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i/>
              </w:rPr>
              <w:t xml:space="preserve">The </w:t>
            </w:r>
            <w:hyperlink w:history="true" r:id="R914bb76d1ea24550">
              <w:r>
                <w:rPr>
                  <w:rStyle w:val="Hyperlink"/>
                  <w:i/>
                </w:rPr>
                <w:t xml:space="preserve">Australian Institute of Health and Welfare Act 1987</w:t>
              </w:r>
            </w:hyperlink>
            <w:r>
              <w:rPr>
                <w:rStyle w:val="row-content-rich-text"/>
              </w:rPr>
              <w:t xml:space="preserve">, in conjunction with compliance to the </w:t>
            </w:r>
            <w:hyperlink w:history="true" r:id="Rc94f282d440d446b">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d86bd2792c843b4">
              <w:r>
                <w:rPr>
                  <w:rStyle w:val="Hyperlink"/>
                </w:rPr>
                <w:t xml:space="preserve">www.aihw.gov.au</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3e03a54c2639483d">
              <w:r>
                <w:rPr>
                  <w:rStyle w:val="Hyperlink"/>
                </w:rPr>
                <w:t xml:space="preserve">link</w:t>
              </w:r>
            </w:hyperlink>
            <w:r>
              <w:rPr>
                <w:rStyle w:val="row-content-rich-text"/>
              </w:rPr>
              <w:t xml:space="preserve">), as specified by the CMHC NMDS (see ‘Interpretability’ section below). </w:t>
            </w:r>
          </w:p>
          <w:p>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hyperlink w:history="true" r:id="R6b525df130be4bce">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 </w:t>
            </w:r>
          </w:p>
          <w:p>
            <w:pPr>
              <w:spacing w:after="160"/>
            </w:pPr>
            <w:r>
              <w:rPr>
                <w:rStyle w:val="row-content-rich-text"/>
              </w:rPr>
              <w:t xml:space="preserve">States and territories are required to supply data annually in accordance with the CMHC NMDS specifications. The reference period for this data set is 2014–15, that is, service contacts provided between 1 July 2014 and 30 June 2015. Data for the 2014–15 reference period were supplied to the AIHW at the end of December 2015.</w:t>
            </w:r>
          </w:p>
          <w:p>
            <w:pPr/>
            <w:r>
              <w:rPr>
                <w:rStyle w:val="row-content-rich-text"/>
              </w:rPr>
              <w:t xml:space="preserve">The AIHW publishes data from the NCMHCD in </w:t>
            </w:r>
            <w:hyperlink w:history="true" r:id="R069b0046b1c04dd7">
              <w:r>
                <w:rPr>
                  <w:rStyle w:val="Hyperlink"/>
                </w:rPr>
                <w:t xml:space="preserve">Mental health services in Australia </w:t>
              </w:r>
            </w:hyperlink>
            <w:r>
              <w:rPr>
                <w:rStyle w:val="row-content-rich-text"/>
              </w:rPr>
              <w:t xml:space="preserve">annually.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5228e0cff4e84be5">
              <w:r>
                <w:rPr>
                  <w:rStyle w:val="Hyperlink"/>
                </w:rPr>
                <w:t xml:space="preserve">http://mhsa.aihw.gov.au/home/</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from the Digital and Media Communications Unit of the AIHW.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w:t>
            </w:r>
          </w:p>
          <w:p>
            <w:pPr>
              <w:spacing w:after="160"/>
            </w:pPr>
            <w:r>
              <w:rPr>
                <w:rStyle w:val="row-content-rich-text"/>
              </w:rPr>
              <w:t xml:space="preserve">METeOR can be accessed on the AIHW website:</w:t>
            </w:r>
          </w:p>
          <w:p>
            <w:hyperlink w:history="true" r:id="R86cfb70e2d6949fc">
              <w:r>
                <w:rPr>
                  <w:rStyle w:val="Hyperlink"/>
                </w:rPr>
                <w:t xml:space="preserve">http://meteor.aihw.gov.au</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ambulatory mental health service contacts provided by community mental health care services, as specified by the CMHC NMDS. The scope for this collection is all government-funded and operated community mental health care services in Australia. </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2014–15).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queries. The AIHW does not adjust data to account for possible data errors or missing or incorrect values.</w:t>
            </w:r>
          </w:p>
          <w:p>
            <w:pPr>
              <w:spacing w:after="160"/>
            </w:pPr>
            <w:r>
              <w:rPr>
                <w:rStyle w:val="row-content-rich-text"/>
              </w:rPr>
              <w:t xml:space="preserve">Data for the Australian Capital Territory were not published for the 2014–15 collection period.</w:t>
            </w:r>
          </w:p>
          <w:p>
            <w:pPr>
              <w:spacing w:after="160"/>
            </w:pPr>
            <w:r>
              <w:rPr>
                <w:rStyle w:val="row-content-rich-text"/>
              </w:rPr>
              <w:t xml:space="preserve">All states estimate that 90–100% of in-scope community mental health care services provided contact data to the collection. Overall service contact data coverage for most jurisdictions was estimated to be between 90–100%. Most states reported small collection gaps that are being addressed.</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The methodology for the identification of Indigenous status varies both between jurisdictions and between services within a jurisdiction. Subsequently, the identification process may result in a different status being recorded among multiple service contacts or between service providers. Indigenous status is missing for 8.0% of contacts in the 2014–15 NCMHCD.</w:t>
            </w:r>
          </w:p>
          <w:p>
            <w:pPr>
              <w:spacing w:after="160"/>
            </w:pPr>
            <w:r>
              <w:rPr>
                <w:rStyle w:val="row-content-rich-text"/>
              </w:rPr>
              <w:t xml:space="preserve">States and territories provided information on the quality of the Indigenous status data for 2014–15 as follows:</w:t>
            </w:r>
          </w:p>
          <w:p>
            <w:pPr>
              <w:pStyle w:val="ListParagraph"/>
              <w:numPr>
                <w:ilvl w:val="0"/>
                <w:numId w:val="3"/>
              </w:numPr>
            </w:pPr>
            <w:r>
              <w:rPr>
                <w:rStyle w:val="row-content-rich-text"/>
              </w:rPr>
              <w:t xml:space="preserve">New South Wales reported the quality of the Indigenous status data to be acceptable but that there are always opportunities to improve and that variation in Indigenous status is impacted by changes in culture, processes and systems. </w:t>
            </w:r>
            <w:r>
              <w:rPr>
                <w:rStyle w:val="row-content-rich-text"/>
              </w:rPr>
              <w:t xml:space="preserve"> </w:t>
            </w:r>
          </w:p>
          <w:p>
            <w:pPr>
              <w:pStyle w:val="ListParagraph"/>
              <w:numPr>
                <w:ilvl w:val="0"/>
                <w:numId w:val="3"/>
              </w:numPr>
            </w:pPr>
            <w:r>
              <w:rPr>
                <w:rStyle w:val="row-content-rich-text"/>
              </w:rPr>
              <w:t xml:space="preserve">Victoria reported the quality of the Indigenous status data to be acceptable but that there continue to be areas for improvement. </w:t>
            </w:r>
          </w:p>
          <w:p>
            <w:pPr>
              <w:pStyle w:val="ListParagraph"/>
              <w:numPr>
                <w:ilvl w:val="0"/>
                <w:numId w:val="3"/>
              </w:numPr>
            </w:pPr>
            <w:r>
              <w:rPr>
                <w:rStyle w:val="row-content-rich-text"/>
              </w:rPr>
              <w:t xml:space="preserve">Queensland reported that the quality of Indigenous status data in 2014–15 was acceptable, with continued improvement on reporting from earlier years, and further work to improve future collections is ongoing. </w:t>
            </w:r>
          </w:p>
          <w:p>
            <w:pPr>
              <w:pStyle w:val="ListParagraph"/>
              <w:numPr>
                <w:ilvl w:val="0"/>
                <w:numId w:val="3"/>
              </w:numPr>
            </w:pPr>
            <w:r>
              <w:rPr>
                <w:rStyle w:val="row-content-rich-text"/>
              </w:rPr>
              <w:t xml:space="preserve">Western Australia reported that the quality of Indigenous status data for 2014–15 was acceptable and plans to introduce a new data quality process in 2016–17 which will target records with missing or unknown Indigenous status. WA also acknowledged the importance of continuing work to improve initial data collection in areas including: improved cultural education and training in data capture at the point of collection; analysis and action regarding clients who change their Indigenous status between contacts.</w:t>
            </w:r>
          </w:p>
          <w:p>
            <w:pPr>
              <w:pStyle w:val="ListParagraph"/>
              <w:numPr>
                <w:ilvl w:val="0"/>
                <w:numId w:val="3"/>
              </w:numPr>
            </w:pPr>
            <w:r>
              <w:rPr>
                <w:rStyle w:val="row-content-rich-text"/>
              </w:rPr>
              <w:t xml:space="preserve">South Australia reported that the quality of Indigenous status data was acceptable, and generally an improvement on the previous year’s data, though reported that further investigation and follow-up with services found apparent high rate of unknown </w:t>
            </w:r>
            <w:r>
              <w:rPr>
                <w:rStyle w:val="row-content-rich-text"/>
              </w:rPr>
              <w:t xml:space="preserve">Indigenous status.</w:t>
            </w:r>
          </w:p>
          <w:p>
            <w:pPr>
              <w:pStyle w:val="ListParagraph"/>
              <w:numPr>
                <w:ilvl w:val="0"/>
                <w:numId w:val="3"/>
              </w:numPr>
            </w:pPr>
            <w:r>
              <w:rPr>
                <w:rStyle w:val="row-content-rich-text"/>
              </w:rPr>
              <w:t xml:space="preserve">Tasmania reported the quality of Indigenous status data was acceptable though reported a deterioration in contacts for registered clients and an increase in missing diagnosis. Tasmania has also changed the way they report group/patient absent contacts which has let to zero being reported this year.</w:t>
            </w:r>
          </w:p>
          <w:p>
            <w:pPr>
              <w:pStyle w:val="ListParagraph"/>
              <w:numPr>
                <w:ilvl w:val="0"/>
                <w:numId w:val="3"/>
              </w:numPr>
            </w:pPr>
            <w:r>
              <w:rPr>
                <w:rStyle w:val="row-content-rich-text"/>
              </w:rPr>
              <w:t xml:space="preserve">The Northern Territory considered the quality of the Indigenous status data to be generally very reliable given the high participation rate in the NT and the sensitivities of that population in all areas of Health policy.</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NCMHCD,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 </w:t>
            </w:r>
          </w:p>
          <w:p>
            <w:pPr/>
            <w:r>
              <w:rPr>
                <w:rStyle w:val="row-content-rich-text"/>
              </w:rPr>
              <w:t xml:space="preserve">Legislation governing the use of treatment orders differs between jurisdictions and comparisons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For 2014–15, there was an update to the principal diagnosis classification scheme, the 9th edition of the International </w:t>
            </w:r>
            <w:r>
              <w:rPr>
                <w:rStyle w:val="row-content-rich-text"/>
              </w:rPr>
              <w:t xml:space="preserve">Statistical Classification of Diseases and Related Health Problems, Tenth Revision, Australian Modification. </w:t>
            </w:r>
          </w:p>
          <w:p>
            <w:pPr>
              <w:spacing w:after="160"/>
            </w:pPr>
            <w:r>
              <w:rPr>
                <w:rStyle w:val="row-content-rich-text"/>
              </w:rPr>
              <w:t xml:space="preserve">There are variations across jurisdictions in the scope and definition of a service contact. For example, most jurisdictions may include telephone and/or written correspondence as service contacts while the Northern Territory does not. Data on contacts with unregistered clients are not included by all jurisdictions. Unregistered client contacts refer to those mental health service contacts for which a person identifier was not recorded. Queensland and the Northern Territory do </w:t>
            </w:r>
            <w:r>
              <w:rPr>
                <w:rStyle w:val="row-content-rich-text"/>
              </w:rPr>
              <w:t xml:space="preserve">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1.Differences among states and territories in the classification used as follows: </w:t>
            </w:r>
          </w:p>
          <w:p>
            <w:pPr>
              <w:pStyle w:val="ListParagraph"/>
              <w:numPr>
                <w:ilvl w:val="0"/>
                <w:numId w:val="4"/>
              </w:numPr>
            </w:pPr>
            <w:r>
              <w:rPr>
                <w:rStyle w:val="row-content-rich-text"/>
              </w:rPr>
              <w:t xml:space="preserve">Victoria and the Northern Territory report that data are submitted in accordance with the ICD-10-AM 9th edition, consistent with the NMDS. Queensland, Western Australia and Tasmania </w:t>
            </w:r>
            <w:r>
              <w:rPr>
                <w:rStyle w:val="row-content-rich-text"/>
              </w:rPr>
              <w:t xml:space="preserve">report that data are submitted in accordance with the ICD-10-AM 8th edition.</w:t>
            </w:r>
          </w:p>
          <w:p>
            <w:pPr>
              <w:pStyle w:val="ListParagraph"/>
              <w:numPr>
                <w:ilvl w:val="0"/>
                <w:numId w:val="4"/>
              </w:numPr>
            </w:pPr>
            <w:r>
              <w:rPr>
                <w:rStyle w:val="row-content-rich-text"/>
              </w:rPr>
              <w:t xml:space="preserve">South Australia used a combination of ICD-10-AM 8th Edition, 4th Edition and ICD-10-AM Mental Health Manual 1st Edition </w:t>
            </w:r>
          </w:p>
          <w:p>
            <w:pPr>
              <w:pStyle w:val="ListParagraph"/>
              <w:numPr>
                <w:ilvl w:val="0"/>
                <w:numId w:val="4"/>
              </w:numPr>
            </w:pPr>
            <w:r>
              <w:rPr>
                <w:rStyle w:val="row-content-rich-text"/>
              </w:rPr>
              <w:t xml:space="preserve">Western Australia noted that patients who were activated prior to and have not had a diagnosis review since the implementation may have a principal diagnosis using a code that is earlier than ICD-10-AM 8th Edition.</w:t>
            </w:r>
          </w:p>
          <w:p>
            <w:pPr>
              <w:spacing w:after="160"/>
            </w:pPr>
            <w:r>
              <w:rPr>
                <w:rStyle w:val="row-content-rich-text"/>
              </w:rPr>
              <w:t xml:space="preserve">2. Differences according to the size of the facility (for example, large versus small) in the ability to accurately code principal diagnosis. </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 </w:t>
            </w:r>
          </w:p>
          <w:p>
            <w:pPr>
              <w:spacing w:after="160"/>
            </w:pPr>
            <w:r>
              <w:rPr>
                <w:rStyle w:val="row-content-rich-text"/>
              </w:rPr>
              <w:t xml:space="preserve">4. Differences according to whether the principal diagnosis is applied to an individual service contact or to a period of care. </w:t>
            </w:r>
          </w:p>
          <w:p>
            <w:pPr>
              <w:spacing w:after="160"/>
            </w:pPr>
            <w:r>
              <w:rPr>
                <w:rStyle w:val="row-content-rich-text"/>
              </w:rPr>
              <w:t xml:space="preserve">New South Wales, Victoria, Queensland, Western Australia and South Australia report the current diagnosis for each service contact rather than a principal diagnosis for a longer period of care. The </w:t>
            </w:r>
            <w:r>
              <w:rPr>
                <w:rStyle w:val="row-content-rich-text"/>
              </w:rPr>
              <w:t xml:space="preserve">remaining jurisdictions report principal diagnosis as applying to a longer period of care.</w:t>
            </w:r>
          </w:p>
          <w:p>
            <w:pPr>
              <w:spacing w:after="160"/>
            </w:pPr>
            <w:r>
              <w:rPr>
                <w:rStyle w:val="row-content-rich-text"/>
                <w:b/>
                <w:i/>
              </w:rPr>
              <w:t xml:space="preserve">Comprability over time</w:t>
            </w:r>
          </w:p>
          <w:p>
            <w:pPr>
              <w:spacing w:after="160"/>
            </w:pPr>
            <w:r>
              <w:rPr>
                <w:rStyle w:val="row-content-rich-text"/>
              </w:rPr>
              <w:t xml:space="preserve">Comparability of NCMHCD data over time can be variable. Changes to reporting practices, upgrades </w:t>
            </w:r>
            <w:r>
              <w:rPr>
                <w:rStyle w:val="row-content-rich-text"/>
              </w:rPr>
              <w:t xml:space="preserve">to information systems and revisions to data mean comparison between years should be made with caution. </w:t>
            </w:r>
          </w:p>
          <w:p>
            <w:pPr>
              <w:spacing w:after="160"/>
            </w:pPr>
            <w:r>
              <w:rPr>
                <w:rStyle w:val="row-content-rich-text"/>
              </w:rPr>
              <w:t xml:space="preserve">For 2014–15, NSW revised and improved data collection methodology affecting the number of reported group contacts where the patient is present.</w:t>
            </w:r>
          </w:p>
          <w:p>
            <w:pPr>
              <w:spacing w:after="160"/>
            </w:pPr>
            <w:r>
              <w:rPr>
                <w:rStyle w:val="row-content-rich-text"/>
              </w:rPr>
              <w:t xml:space="preserve">In November 2014, QLD undertook a system upgrade which allowed for contact duration to be recorded individually for each consumer reviewed in group sessions. This system change led to an increase in contacts reported in for 2014–15 including those with a duration of 0 to 5 minutes, contacts where the patient was absent and involuntary contacts. The increase has affected the national average duration of contacts.</w:t>
            </w:r>
          </w:p>
          <w:p>
            <w:pPr/>
            <w:r>
              <w:rPr>
                <w:rStyle w:val="row-content-rich-text"/>
              </w:rPr>
              <w:t xml:space="preserve">In 2014–15, Tasmania revised the method by which they report group contacts, leading to a reduction of group contacts where the patient is absent for that year.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0609058766406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55bf31c565459b">
              <w:r>
                <w:rPr>
                  <w:rStyle w:val="Hyperlink"/>
                </w:rPr>
                <w:t xml:space="preserve">Community mental health care NMDS 2013–14: National Community Mental Health Care Database, 2015; Quality Statement</w:t>
              </w:r>
            </w:hyperlink>
          </w:p>
          <w:p>
            <w:pPr>
              <w:spacing w:before="0" w:after="0"/>
            </w:pPr>
            <w:r>
              <w:rPr>
                <w:rStyle w:val="row-content"/>
                <w:color w:val="244061"/>
              </w:rPr>
              <w:t xml:space="preserve">       </w:t>
            </w:r>
            <w:hyperlink w:history="true" r:id="R1a157d34b4214d12">
              <w:r>
                <w:rPr>
                  <w:rStyle w:val="Hyperlink"/>
                  <w:color w:val="244061"/>
                </w:rPr>
                <w:t xml:space="preserve">AIHW Data Quality Statements</w:t>
              </w:r>
            </w:hyperlink>
            <w:r>
              <w:rPr>
                <w:rStyle w:val="row-content"/>
                <w:color w:val="244061"/>
              </w:rPr>
              <w:t xml:space="preserve">, Superseded 14/10/2016</w:t>
            </w:r>
          </w:p>
          <w:p>
            <w:r>
              <w:br/>
            </w:r>
            <w:r>
              <w:rPr>
                <w:rStyle w:val="row-content"/>
              </w:rPr>
              <w:t xml:space="preserve">Has been superseded by </w:t>
            </w:r>
            <w:hyperlink w:history="true" r:id="R2d4a6facb14f422c">
              <w:r>
                <w:rPr>
                  <w:rStyle w:val="Hyperlink"/>
                </w:rPr>
                <w:t xml:space="preserve">Community mental health care NMDS 2015–16: National Community Mental Health Care Database, 2017; Quality Statement</w:t>
              </w:r>
            </w:hyperlink>
          </w:p>
          <w:p>
            <w:pPr>
              <w:spacing w:before="0" w:after="0"/>
            </w:pPr>
            <w:r>
              <w:rPr>
                <w:rStyle w:val="row-content"/>
                <w:color w:val="244061"/>
              </w:rPr>
              <w:t xml:space="preserve">       </w:t>
            </w:r>
            <w:hyperlink w:history="true" r:id="R6f74832d33564a07">
              <w:r>
                <w:rPr>
                  <w:rStyle w:val="Hyperlink"/>
                  <w:color w:val="244061"/>
                </w:rPr>
                <w:t xml:space="preserve">AIHW Data Quality Statements</w:t>
              </w:r>
            </w:hyperlink>
            <w:r>
              <w:rPr>
                <w:rStyle w:val="row-content"/>
                <w:color w:val="244061"/>
              </w:rPr>
              <w:t xml:space="preserve">, Superseded 11/10/2018</w:t>
            </w:r>
          </w:p>
          <w:p>
            <w:r>
              <w:br/>
            </w:r>
          </w:p>
        </w:tc>
      </w:tr>
    </w:tbl>
    <w:p>
      <w:r>
        <w:br/>
      </w:r>
    </w:p>
    <w:sectPr>
      <w:footerReference xmlns:r="http://schemas.openxmlformats.org/officeDocument/2006/relationships" w:type="default" r:id="Rfedca085e0b043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646644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f9f3f34bac4e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dca085e0b043c8" /><Relationship Type="http://schemas.openxmlformats.org/officeDocument/2006/relationships/header" Target="/word/header1.xml" Id="R54ec3f5e19004224" /><Relationship Type="http://schemas.openxmlformats.org/officeDocument/2006/relationships/settings" Target="/word/settings.xml" Id="R17c39d28b4874f31" /><Relationship Type="http://schemas.openxmlformats.org/officeDocument/2006/relationships/styles" Target="/word/styles.xml" Id="R87a9183b0a49406b" /><Relationship Type="http://schemas.openxmlformats.org/officeDocument/2006/relationships/hyperlink" Target="https://meteor.aihw.gov.au/RegistrationAuthority/5" TargetMode="External" Id="Rba9523bb8cc647b0" /><Relationship Type="http://schemas.openxmlformats.org/officeDocument/2006/relationships/numbering" Target="/word/numbering.xml" Id="R364c17cb914e4583" /><Relationship Type="http://schemas.openxmlformats.org/officeDocument/2006/relationships/hyperlink" Target="https://meteor.aihw.gov.au/content/493658" TargetMode="External" Id="R528b4dc59d6642f1" /><Relationship Type="http://schemas.openxmlformats.org/officeDocument/2006/relationships/hyperlink" Target="http://www.comlaw.gov.au/Details/C2004A03450" TargetMode="External" Id="Rb23bc34e7d454a5a" /><Relationship Type="http://schemas.openxmlformats.org/officeDocument/2006/relationships/hyperlink" Target="http://www.comlaw.gov.au/Details/C2004A03450" TargetMode="External" Id="R914bb76d1ea24550" /><Relationship Type="http://schemas.openxmlformats.org/officeDocument/2006/relationships/hyperlink" Target="https://www.legislation.gov.au/series/C2004A03712" TargetMode="External" Id="Rc94f282d440d446b" /><Relationship Type="http://schemas.openxmlformats.org/officeDocument/2006/relationships/hyperlink" Target="http://www.aihw.gov.au/" TargetMode="External" Id="R8d86bd2792c843b4" /><Relationship Type="http://schemas.openxmlformats.org/officeDocument/2006/relationships/hyperlink" Target="https://meteor.aihw.gov.au/content/182135" TargetMode="External" Id="R3e03a54c2639483d" /><Relationship Type="http://schemas.openxmlformats.org/officeDocument/2006/relationships/hyperlink" Target="https://meteor.aihw.gov.au/content/493652" TargetMode="External" Id="R6b525df130be4bce" /><Relationship Type="http://schemas.openxmlformats.org/officeDocument/2006/relationships/hyperlink" Target="http://mhsa.aihw.gov.au/home/" TargetMode="External" Id="R069b0046b1c04dd7" /><Relationship Type="http://schemas.openxmlformats.org/officeDocument/2006/relationships/hyperlink" Target="http://mhsa.aihw.gov.au/home/" TargetMode="External" Id="R5228e0cff4e84be5" /><Relationship Type="http://schemas.openxmlformats.org/officeDocument/2006/relationships/hyperlink" Target="https://meteor.aihw.gov.au/content/181162" TargetMode="External" Id="R86cfb70e2d6949fc" /><Relationship Type="http://schemas.openxmlformats.org/officeDocument/2006/relationships/hyperlink" Target="https://meteor.aihw.gov.au/content/246013" TargetMode="External" Id="Rff0609058766406e" /><Relationship Type="http://schemas.openxmlformats.org/officeDocument/2006/relationships/hyperlink" Target="https://meteor.aihw.gov.au/content/617724" TargetMode="External" Id="R2f55bf31c565459b" /><Relationship Type="http://schemas.openxmlformats.org/officeDocument/2006/relationships/hyperlink" Target="https://meteor.aihw.gov.au/RegistrationAuthority/5" TargetMode="External" Id="R1a157d34b4214d12" /><Relationship Type="http://schemas.openxmlformats.org/officeDocument/2006/relationships/hyperlink" Target="https://meteor.aihw.gov.au/content/678386" TargetMode="External" Id="R2d4a6facb14f422c" /><Relationship Type="http://schemas.openxmlformats.org/officeDocument/2006/relationships/hyperlink" Target="https://meteor.aihw.gov.au/RegistrationAuthority/5" TargetMode="External" Id="R6f74832d33564a07" /></Relationships>
</file>

<file path=word/_rels/header1.xml.rels>&#65279;<?xml version="1.0" encoding="utf-8"?><Relationships xmlns="http://schemas.openxmlformats.org/package/2006/relationships"><Relationship Type="http://schemas.openxmlformats.org/officeDocument/2006/relationships/image" Target="/media/image.png" Id="R37f9f3f34bac4ee0" /></Relationships>
</file>