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32888382074903"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2017–18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2017–18</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d873416e8fc54eee">
                    <w:r>
                      <w:rPr>
                        <w:rStyle w:val="Hyperlink"/>
                      </w:rPr>
                      <w:t xml:space="preserve">Mental health non-government organisation grants cluster</w:t>
                    </w:r>
                  </w:hyperlink>
                </w:p>
              </w:tc>
              <w:tc>
                <w:tcPr>
                  <w:vAlign w:val="top"/>
                </w:tcPr>
                <w:p>
                  <w:r>
                    <w:t xml:space="preserve">585981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ed3cbe4e60ae4fd5">
                    <w:r>
                      <w:rPr>
                        <w:rStyle w:val="Hyperlink"/>
                      </w:rPr>
                      <w:t xml:space="preserve">Grants to non-government organisations</w:t>
                    </w:r>
                  </w:hyperlink>
                </w:p>
              </w:tc>
              <w:tc>
                <w:tcPr>
                  <w:vAlign w:val="top"/>
                </w:tcPr>
                <w:p>
                  <w:r>
                    <w:t xml:space="preserve">567363</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      -</w:t>
                  </w:r>
                </w:p>
              </w:tc>
              <w:tc>
                <w:tcPr>
                  <w:tcMar>
                    <w:left w:w="225" w:type="dxa"/>
                  </w:tcMar>
                  <w:vAlign w:val="top"/>
                </w:tcPr>
                <w:p>
                  <w:hyperlink w:history="true" r:id="R0e978c6bec4f4bf9">
                    <w:r>
                      <w:rPr>
                        <w:rStyle w:val="Hyperlink"/>
                      </w:rPr>
                      <w:t xml:space="preserve">Mental health NGO service type</w:t>
                    </w:r>
                  </w:hyperlink>
                </w:p>
              </w:tc>
              <w:tc>
                <w:tcPr>
                  <w:vAlign w:val="top"/>
                </w:tcPr>
                <w:p>
                  <w:r>
                    <w:t xml:space="preserve">567352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Counselling—face-to-face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Counselling, support, information and referral—telephone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Counselling, support, information and referral—online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Self-help—online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Group support activities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Mutual support and self-help</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Staffed residential services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Personalised support—linked to housing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Personalised support—other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Family and carer support</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Individual advocacy</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Care coordination</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Service integration infrastructure</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Education, employment and training</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Sector development and representation</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Mental health promotion</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Mental illness prevention</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and unspecified services</w:t>
                        </w:r>
                      </w:p>
                    </w:tc>
                  </w:tr>
                </w:tbl>
                <w:p/>
              </w:tc>
            </w:tr>
            <w:tr>
              <w:trPr/>
              <w:tc>
                <w:tcPr>
                  <w:tcMar>
                    <w:right w:w="29" w:type="dxa"/>
                  </w:tcMar>
                  <w:vAlign w:val="top"/>
                </w:tcPr>
                <w:p>
                  <w:pPr>
                    <w:keepNext/>
                    <w:jc w:val="center"/>
                  </w:pPr>
                  <w:r>
                    <w:t xml:space="preserve">-</w:t>
                  </w:r>
                </w:p>
              </w:tc>
              <w:tc>
                <w:tcPr>
                  <w:tcMar/>
                  <w:vAlign w:val="top"/>
                </w:tcPr>
                <w:p>
                  <w:hyperlink w:history="true" r:id="Rbe79e17740d74a1b">
                    <w:r>
                      <w:rPr>
                        <w:rStyle w:val="Hyperlink"/>
                      </w:rPr>
                      <w:t xml:space="preserve">Statistical area level 2 (SA2)</w:t>
                    </w:r>
                  </w:hyperlink>
                </w:p>
              </w:tc>
              <w:tc>
                <w:tcPr>
                  <w:vAlign w:val="top"/>
                </w:tcPr>
                <w:p>
                  <w:r>
                    <w:t xml:space="preserve">659774</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w:t>
                  </w:r>
                </w:p>
              </w:tc>
              <w:tc>
                <w:tcPr>
                  <w:tcMar/>
                  <w:vAlign w:val="top"/>
                </w:tcPr>
                <w:p>
                  <w:hyperlink w:history="true" r:id="R9b2db534ec554cbf">
                    <w:r>
                      <w:rPr>
                        <w:rStyle w:val="Hyperlink"/>
                      </w:rPr>
                      <w:t xml:space="preserve">Average available beds for overnight-stay patients</w:t>
                    </w:r>
                  </w:hyperlink>
                </w:p>
              </w:tc>
              <w:tc>
                <w:tcPr>
                  <w:vAlign w:val="top"/>
                </w:tcPr>
                <w:p>
                  <w:r>
                    <w:t xml:space="preserve">374151</w:t>
                  </w:r>
                </w:p>
              </w:tc>
              <w:tc>
                <w:tcPr>
                  <w:vAlign w:val="top"/>
                </w:tcPr>
                <w:p>
                  <w:r>
                    <w:t xml:space="preserve">Number
[5]</w:t>
                  </w:r>
                </w:p>
              </w:tc>
              <w:tc>
                <w:tcPr>
                  <w:vAlign w:val="top"/>
                </w:tcPr>
                <w:p>
                  <w:r>
                    <w:t xml:space="preserve">N[NNN.N]</w:t>
                  </w:r>
                  <w:r>
                    <w:br/>
                  </w:r>
                  <w:r>
                    <w:t xml:space="preserve">A numeric value representing an arithmetic mean of beds.</w:t>
                  </w:r>
                </w:p>
              </w:tc>
            </w:tr>
            <w:tr>
              <w:trPr/>
              <w:tc>
                <w:tcPr>
                  <w:tcMar>
                    <w:right w:w="29" w:type="dxa"/>
                  </w:tcMar>
                  <w:vAlign w:val="top"/>
                </w:tcPr>
                <w:p>
                  <w:pPr>
                    <w:keepNext/>
                    <w:jc w:val="center"/>
                  </w:pPr>
                  <w:r>
                    <w:t xml:space="preserve">-</w:t>
                  </w:r>
                </w:p>
              </w:tc>
              <w:tc>
                <w:tcPr>
                  <w:tcMar/>
                  <w:vAlign w:val="top"/>
                </w:tcPr>
                <w:p>
                  <w:hyperlink w:history="true" r:id="R852df283d8c24e41">
                    <w:r>
                      <w:rPr>
                        <w:rStyle w:val="Hyperlink"/>
                      </w:rPr>
                      <w:t xml:space="preserve">Average available beds for residential mental health patients</w:t>
                    </w:r>
                  </w:hyperlink>
                </w:p>
              </w:tc>
              <w:tc>
                <w:tcPr>
                  <w:vAlign w:val="top"/>
                </w:tcPr>
                <w:p>
                  <w:r>
                    <w:t xml:space="preserve">373650</w:t>
                  </w:r>
                </w:p>
              </w:tc>
              <w:tc>
                <w:tcPr>
                  <w:vAlign w:val="top"/>
                </w:tcPr>
                <w:p>
                  <w:r>
                    <w:t xml:space="preserve">Number
[5]</w:t>
                  </w:r>
                </w:p>
              </w:tc>
              <w:tc>
                <w:tcPr>
                  <w:vAlign w:val="top"/>
                </w:tcPr>
                <w:p>
                  <w:r>
                    <w:t xml:space="preserve">N[NNN.N]</w:t>
                  </w:r>
                  <w:r>
                    <w:br/>
                  </w:r>
                  <w:r>
                    <w:t xml:space="preserve">A numeric value representing an arithmetic mean of beds.</w:t>
                  </w:r>
                </w:p>
              </w:tc>
            </w:tr>
            <w:tr>
              <w:trPr/>
              <w:tc>
                <w:tcPr>
                  <w:tcMar>
                    <w:right w:w="29" w:type="dxa"/>
                  </w:tcMar>
                  <w:vAlign w:val="top"/>
                </w:tcPr>
                <w:p>
                  <w:pPr>
                    <w:keepNext/>
                    <w:jc w:val="center"/>
                  </w:pPr>
                  <w:r>
                    <w:t xml:space="preserve">-</w:t>
                  </w:r>
                </w:p>
              </w:tc>
              <w:tc>
                <w:tcPr>
                  <w:tcMar/>
                  <w:vAlign w:val="top"/>
                </w:tcPr>
                <w:p>
                  <w:hyperlink w:history="true" r:id="Rc569f2773ab844f3">
                    <w:r>
                      <w:rPr>
                        <w:rStyle w:val="Hyperlink"/>
                      </w:rPr>
                      <w:t xml:space="preserve">Number of episodes of residential care</w:t>
                    </w:r>
                  </w:hyperlink>
                </w:p>
              </w:tc>
              <w:tc>
                <w:tcPr>
                  <w:vAlign w:val="top"/>
                </w:tcPr>
                <w:p>
                  <w:r>
                    <w:t xml:space="preserve">534013</w:t>
                  </w:r>
                </w:p>
              </w:tc>
              <w:tc>
                <w:tcPr>
                  <w:vAlign w:val="top"/>
                </w:tcPr>
                <w:p>
                  <w:r>
                    <w:t xml:space="preserve">Number
[4]</w:t>
                  </w:r>
                </w:p>
              </w:tc>
              <w:tc>
                <w:tcPr>
                  <w:vAlign w:val="top"/>
                </w:tcPr>
                <w:p>
                  <w:r>
                    <w:t xml:space="preserve">NNNN</w:t>
                  </w:r>
                  <w:r>
                    <w:br/>
                  </w:r>
                  <w:r>
                    <w:t xml:space="preserve">The total number of episodes of residential care.</w:t>
                  </w:r>
                </w:p>
              </w:tc>
            </w:tr>
            <w:tr>
              <w:trPr/>
              <w:tc>
                <w:tcPr>
                  <w:tcMar>
                    <w:right w:w="29" w:type="dxa"/>
                  </w:tcMar>
                  <w:vAlign w:val="top"/>
                </w:tcPr>
                <w:p>
                  <w:pPr>
                    <w:keepNext/>
                    <w:jc w:val="center"/>
                  </w:pPr>
                  <w:r>
                    <w:t xml:space="preserve">-</w:t>
                  </w:r>
                </w:p>
              </w:tc>
              <w:tc>
                <w:tcPr>
                  <w:tcMar/>
                  <w:vAlign w:val="top"/>
                </w:tcPr>
                <w:p>
                  <w:hyperlink w:history="true" r:id="R4f009ed0fbb542be">
                    <w:r>
                      <w:rPr>
                        <w:rStyle w:val="Hyperlink"/>
                      </w:rPr>
                      <w:t xml:space="preserve">Recurrent expenditure (mental health)—non-salary operating costs</w:t>
                    </w:r>
                  </w:hyperlink>
                </w:p>
              </w:tc>
              <w:tc>
                <w:tcPr>
                  <w:vAlign w:val="top"/>
                </w:tcPr>
                <w:p>
                  <w:r>
                    <w:t xml:space="preserve">287979</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924248d6c042454f">
                    <w:r>
                      <w:rPr>
                        <w:rStyle w:val="Hyperlink"/>
                      </w:rPr>
                      <w:t xml:space="preserve">Recurrent expenditure (mental health)—salaries and wages</w:t>
                    </w:r>
                  </w:hyperlink>
                </w:p>
              </w:tc>
              <w:tc>
                <w:tcPr>
                  <w:vAlign w:val="top"/>
                </w:tcPr>
                <w:p>
                  <w:r>
                    <w:t xml:space="preserve">296577</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3f88a16deb6945f7">
                    <w:r>
                      <w:rPr>
                        <w:rStyle w:val="Hyperlink"/>
                      </w:rPr>
                      <w:t xml:space="preserve">Accrued mental health care days</w:t>
                    </w:r>
                  </w:hyperlink>
                </w:p>
              </w:tc>
              <w:tc>
                <w:tcPr>
                  <w:vAlign w:val="top"/>
                </w:tcPr>
                <w:p>
                  <w:r>
                    <w:t xml:space="preserve">286770</w:t>
                  </w:r>
                </w:p>
              </w:tc>
              <w:tc>
                <w:tcPr>
                  <w:vAlign w:val="top"/>
                </w:tcPr>
                <w:p>
                  <w:r>
                    <w:t xml:space="preserve">Number
[8]</w:t>
                  </w:r>
                </w:p>
              </w:tc>
              <w:tc>
                <w:tcPr>
                  <w:vAlign w:val="top"/>
                </w:tcPr>
                <w:p>
                  <w:r>
                    <w:t xml:space="preserve">N[N(7)]</w:t>
                  </w:r>
                  <w:r>
                    <w:br/>
                  </w:r>
                  <w:r>
                    <w:t xml:space="preserve">Total number of days.</w:t>
                  </w:r>
                </w:p>
              </w:tc>
            </w:tr>
            <w:tr>
              <w:trPr/>
              <w:tc>
                <w:tcPr>
                  <w:tcMar>
                    <w:right w:w="29" w:type="dxa"/>
                  </w:tcMar>
                  <w:vAlign w:val="top"/>
                </w:tcPr>
                <w:p>
                  <w:pPr>
                    <w:keepNext/>
                    <w:jc w:val="center"/>
                  </w:pPr>
                  <w:r>
                    <w:t xml:space="preserve">-</w:t>
                  </w:r>
                </w:p>
              </w:tc>
              <w:tc>
                <w:tcPr>
                  <w:tcMar/>
                  <w:vAlign w:val="top"/>
                </w:tcPr>
                <w:p>
                  <w:hyperlink w:history="true" r:id="R2eb67255f5fb4f5f">
                    <w:r>
                      <w:rPr>
                        <w:rStyle w:val="Hyperlink"/>
                      </w:rPr>
                      <w:t xml:space="preserve">Australian State/Territory identifier (establishment)</w:t>
                    </w:r>
                  </w:hyperlink>
                </w:p>
              </w:tc>
              <w:tc>
                <w:tcPr>
                  <w:vAlign w:val="top"/>
                </w:tcPr>
                <w:p>
                  <w:r>
                    <w:t xml:space="preserve">269941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0eb5107ede6f427d">
                    <w:r>
                      <w:rPr>
                        <w:rStyle w:val="Hyperlink"/>
                      </w:rPr>
                      <w:t xml:space="preserve">Full-time equivalent staff—administrative and clerical staff</w:t>
                    </w:r>
                  </w:hyperlink>
                </w:p>
              </w:tc>
              <w:tc>
                <w:tcPr>
                  <w:vAlign w:val="top"/>
                </w:tcPr>
                <w:p>
                  <w:r>
                    <w:t xml:space="preserve">270496</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909953abefbf4abd">
                    <w:r>
                      <w:rPr>
                        <w:rStyle w:val="Hyperlink"/>
                      </w:rPr>
                      <w:t xml:space="preserve">Full-time equivalent staff—consultant psychiatrists and psychiatrists</w:t>
                    </w:r>
                  </w:hyperlink>
                </w:p>
              </w:tc>
              <w:tc>
                <w:tcPr>
                  <w:vAlign w:val="top"/>
                </w:tcPr>
                <w:p>
                  <w:r>
                    <w:t xml:space="preserve">287509</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c926a294c34c40df">
                    <w:r>
                      <w:rPr>
                        <w:rStyle w:val="Hyperlink"/>
                      </w:rPr>
                      <w:t xml:space="preserve">Full-time equivalent staff—diagnostic and health professionals</w:t>
                    </w:r>
                  </w:hyperlink>
                </w:p>
              </w:tc>
              <w:tc>
                <w:tcPr>
                  <w:vAlign w:val="top"/>
                </w:tcPr>
                <w:p>
                  <w:r>
                    <w:t xml:space="preserve">270495</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8982c7c431e64bfd">
                    <w:r>
                      <w:rPr>
                        <w:rStyle w:val="Hyperlink"/>
                      </w:rPr>
                      <w:t xml:space="preserve">Full-time equivalent staff—domestic and other staff</w:t>
                    </w:r>
                  </w:hyperlink>
                </w:p>
              </w:tc>
              <w:tc>
                <w:tcPr>
                  <w:vAlign w:val="top"/>
                </w:tcPr>
                <w:p>
                  <w:r>
                    <w:t xml:space="preserve">270498</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501f570171df4faf">
                    <w:r>
                      <w:rPr>
                        <w:rStyle w:val="Hyperlink"/>
                      </w:rPr>
                      <w:t xml:space="preserve">Full-time equivalent staff—enrolled nurses</w:t>
                    </w:r>
                  </w:hyperlink>
                </w:p>
              </w:tc>
              <w:tc>
                <w:tcPr>
                  <w:vAlign w:val="top"/>
                </w:tcPr>
                <w:p>
                  <w:r>
                    <w:t xml:space="preserve">270497</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16667d8a1b034a42">
                    <w:r>
                      <w:rPr>
                        <w:rStyle w:val="Hyperlink"/>
                      </w:rPr>
                      <w:t xml:space="preserve">Full-time equivalent staff—mental health carer workers</w:t>
                    </w:r>
                  </w:hyperlink>
                </w:p>
              </w:tc>
              <w:tc>
                <w:tcPr>
                  <w:vAlign w:val="top"/>
                </w:tcPr>
                <w:p>
                  <w:r>
                    <w:t xml:space="preserve">450762</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27eba9e6cc0243ed">
                    <w:r>
                      <w:rPr>
                        <w:rStyle w:val="Hyperlink"/>
                      </w:rPr>
                      <w:t xml:space="preserve">Full-time equivalent staff—mental health consumer and carer workers</w:t>
                    </w:r>
                  </w:hyperlink>
                </w:p>
              </w:tc>
              <w:tc>
                <w:tcPr>
                  <w:vAlign w:val="top"/>
                </w:tcPr>
                <w:p>
                  <w:r>
                    <w:t xml:space="preserve">494044</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b9d8c6b5dc524502">
                    <w:r>
                      <w:rPr>
                        <w:rStyle w:val="Hyperlink"/>
                      </w:rPr>
                      <w:t xml:space="preserve">Full-time equivalent staff—mental health consumer workers</w:t>
                    </w:r>
                  </w:hyperlink>
                </w:p>
              </w:tc>
              <w:tc>
                <w:tcPr>
                  <w:vAlign w:val="top"/>
                </w:tcPr>
                <w:p>
                  <w:r>
                    <w:t xml:space="preserve">450821</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30f4c9b2468246c8">
                    <w:r>
                      <w:rPr>
                        <w:rStyle w:val="Hyperlink"/>
                      </w:rPr>
                      <w:t xml:space="preserve">Full-time equivalent staff—nurses</w:t>
                    </w:r>
                  </w:hyperlink>
                </w:p>
              </w:tc>
              <w:tc>
                <w:tcPr>
                  <w:vAlign w:val="top"/>
                </w:tcPr>
                <w:p>
                  <w:r>
                    <w:t xml:space="preserve">426703</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6455d0fef9e14c7d">
                    <w:r>
                      <w:rPr>
                        <w:rStyle w:val="Hyperlink"/>
                      </w:rPr>
                      <w:t xml:space="preserve">Full-time equivalent staff—occupational therapists</w:t>
                    </w:r>
                  </w:hyperlink>
                </w:p>
              </w:tc>
              <w:tc>
                <w:tcPr>
                  <w:vAlign w:val="top"/>
                </w:tcPr>
                <w:p>
                  <w:r>
                    <w:t xml:space="preserve">287603</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38fe70e5b5c349d5">
                    <w:r>
                      <w:rPr>
                        <w:rStyle w:val="Hyperlink"/>
                      </w:rPr>
                      <w:t xml:space="preserve">Full-time equivalent staff—other diagnostic and health professionals</w:t>
                    </w:r>
                  </w:hyperlink>
                </w:p>
              </w:tc>
              <w:tc>
                <w:tcPr>
                  <w:vAlign w:val="top"/>
                </w:tcPr>
                <w:p>
                  <w:r>
                    <w:t xml:space="preserve">287611</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5e1544740f004f97">
                    <w:r>
                      <w:rPr>
                        <w:rStyle w:val="Hyperlink"/>
                      </w:rPr>
                      <w:t xml:space="preserve">Full-time equivalent staff—other medical officers</w:t>
                    </w:r>
                  </w:hyperlink>
                </w:p>
              </w:tc>
              <w:tc>
                <w:tcPr>
                  <w:vAlign w:val="top"/>
                </w:tcPr>
                <w:p>
                  <w:r>
                    <w:t xml:space="preserve">287531</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67c3dfb475af4439">
                    <w:r>
                      <w:rPr>
                        <w:rStyle w:val="Hyperlink"/>
                      </w:rPr>
                      <w:t xml:space="preserve">Full-time equivalent staff—other personal care staff</w:t>
                    </w:r>
                  </w:hyperlink>
                </w:p>
              </w:tc>
              <w:tc>
                <w:tcPr>
                  <w:vAlign w:val="top"/>
                </w:tcPr>
                <w:p>
                  <w:r>
                    <w:t xml:space="preserve">270171</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78ba23fe620c4991">
                    <w:r>
                      <w:rPr>
                        <w:rStyle w:val="Hyperlink"/>
                      </w:rPr>
                      <w:t xml:space="preserve">Full-time equivalent staff—psychiatry registrars and trainees</w:t>
                    </w:r>
                  </w:hyperlink>
                </w:p>
              </w:tc>
              <w:tc>
                <w:tcPr>
                  <w:vAlign w:val="top"/>
                </w:tcPr>
                <w:p>
                  <w:r>
                    <w:t xml:space="preserve">287529</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e6e1c26ca9614c97">
                    <w:r>
                      <w:rPr>
                        <w:rStyle w:val="Hyperlink"/>
                      </w:rPr>
                      <w:t xml:space="preserve">Full-time equivalent staff—psychologists</w:t>
                    </w:r>
                  </w:hyperlink>
                </w:p>
              </w:tc>
              <w:tc>
                <w:tcPr>
                  <w:vAlign w:val="top"/>
                </w:tcPr>
                <w:p>
                  <w:r>
                    <w:t xml:space="preserve">287609</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19819ee5219f445a">
                    <w:r>
                      <w:rPr>
                        <w:rStyle w:val="Hyperlink"/>
                      </w:rPr>
                      <w:t xml:space="preserve">Full-time equivalent staff—registered nurses</w:t>
                    </w:r>
                  </w:hyperlink>
                </w:p>
              </w:tc>
              <w:tc>
                <w:tcPr>
                  <w:vAlign w:val="top"/>
                </w:tcPr>
                <w:p>
                  <w:r>
                    <w:t xml:space="preserve">270500</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ea39c3bf2ae14175">
                    <w:r>
                      <w:rPr>
                        <w:rStyle w:val="Hyperlink"/>
                      </w:rPr>
                      <w:t xml:space="preserve">Full-time equivalent staff—salaried medical officers</w:t>
                    </w:r>
                  </w:hyperlink>
                </w:p>
              </w:tc>
              <w:tc>
                <w:tcPr>
                  <w:vAlign w:val="top"/>
                </w:tcPr>
                <w:p>
                  <w:r>
                    <w:t xml:space="preserve">270494</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18832cc120004555">
                    <w:r>
                      <w:rPr>
                        <w:rStyle w:val="Hyperlink"/>
                      </w:rPr>
                      <w:t xml:space="preserve">Full-time equivalent staff—social workers</w:t>
                    </w:r>
                  </w:hyperlink>
                </w:p>
              </w:tc>
              <w:tc>
                <w:tcPr>
                  <w:vAlign w:val="top"/>
                </w:tcPr>
                <w:p>
                  <w:r>
                    <w:t xml:space="preserve">287607</w:t>
                  </w:r>
                </w:p>
              </w:tc>
              <w:tc>
                <w:tcPr>
                  <w:vAlign w:val="top"/>
                </w:tcPr>
                <w:p>
                  <w:r>
                    <w:t xml:space="preserve">Number
[5]</w:t>
                  </w:r>
                </w:p>
              </w:tc>
              <w:tc>
                <w:tcPr>
                  <w:vAlign w:val="top"/>
                </w:tcPr>
                <w:p>
                  <w:r>
                    <w:t xml:space="preserve">N[NNN{.N}]</w:t>
                  </w:r>
                  <w:r>
                    <w:br/>
                  </w:r>
                  <w:r>
                    <w:t xml:space="preserve">A numeric value representing the arithmetic mean of full-time equivalent units.</w:t>
                  </w:r>
                </w:p>
              </w:tc>
            </w:tr>
            <w:tr>
              <w:trPr/>
              <w:tc>
                <w:tcPr>
                  <w:tcMar>
                    <w:right w:w="29" w:type="dxa"/>
                  </w:tcMar>
                  <w:vAlign w:val="top"/>
                </w:tcPr>
                <w:p>
                  <w:pPr>
                    <w:keepNext/>
                    <w:jc w:val="center"/>
                  </w:pPr>
                  <w:r>
                    <w:t xml:space="preserve">-</w:t>
                  </w:r>
                </w:p>
              </w:tc>
              <w:tc>
                <w:tcPr>
                  <w:tcMar/>
                  <w:vAlign w:val="top"/>
                </w:tcPr>
                <w:p>
                  <w:hyperlink w:history="true" r:id="R5e0d76de8b704fb0">
                    <w:r>
                      <w:rPr>
                        <w:rStyle w:val="Hyperlink"/>
                      </w:rPr>
                      <w:t xml:space="preserve">Local Hospital Network identifier</w:t>
                    </w:r>
                  </w:hyperlink>
                </w:p>
              </w:tc>
              <w:tc>
                <w:tcPr>
                  <w:vAlign w:val="top"/>
                </w:tcPr>
                <w:p>
                  <w:r>
                    <w:t xml:space="preserve">584333</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South Eastern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102 </w:t>
                        </w:r>
                      </w:p>
                    </w:tc>
                    <w:tc>
                      <w:tcPr>
                        <w:tcBorders>
                          <w:top w:val="none" w:color="000000" w:sz="0"/>
                          <w:left w:val="none" w:color="000000" w:sz="0"/>
                          <w:bottom w:val="none" w:color="000000" w:sz="0"/>
                          <w:right w:val="none" w:color="000000" w:sz="0"/>
                        </w:tcBorders>
                        <w:tcMar/>
                        <w:vAlign w:val="top"/>
                      </w:tcPr>
                      <w:p>
                        <w:r>
                          <w:t xml:space="preserve">Sydney </w:t>
                        </w:r>
                      </w:p>
                    </w:tc>
                  </w:tr>
                  <w:tr>
                    <w:trPr/>
                    <w:tc>
                      <w:tcPr>
                        <w:tcW w:w="1000" w:type="pct"/>
                        <w:tcBorders>
                          <w:top w:val="none" w:color="000000" w:sz="0"/>
                          <w:left w:val="none" w:color="000000" w:sz="0"/>
                          <w:bottom w:val="none" w:color="000000" w:sz="0"/>
                          <w:right w:val="none" w:color="000000" w:sz="0"/>
                        </w:tcBorders>
                        <w:tcMar/>
                        <w:vAlign w:val="top"/>
                      </w:tcPr>
                      <w:p>
                        <w:r>
                          <w:t xml:space="preserve">103 </w:t>
                        </w:r>
                      </w:p>
                    </w:tc>
                    <w:tc>
                      <w:tcPr>
                        <w:tcBorders>
                          <w:top w:val="none" w:color="000000" w:sz="0"/>
                          <w:left w:val="none" w:color="000000" w:sz="0"/>
                          <w:bottom w:val="none" w:color="000000" w:sz="0"/>
                          <w:right w:val="none" w:color="000000" w:sz="0"/>
                        </w:tcBorders>
                        <w:tcMar/>
                        <w:vAlign w:val="top"/>
                      </w:tcPr>
                      <w:p>
                        <w:r>
                          <w:t xml:space="preserve">South 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104 </w:t>
                        </w:r>
                      </w:p>
                    </w:tc>
                    <w:tc>
                      <w:tcPr>
                        <w:tcBorders>
                          <w:top w:val="none" w:color="000000" w:sz="0"/>
                          <w:left w:val="none" w:color="000000" w:sz="0"/>
                          <w:bottom w:val="none" w:color="000000" w:sz="0"/>
                          <w:right w:val="none" w:color="000000" w:sz="0"/>
                        </w:tcBorders>
                        <w:tcMar/>
                        <w:vAlign w:val="top"/>
                      </w:tcPr>
                      <w:p>
                        <w:r>
                          <w:t xml:space="preserve">Western Sydney </w:t>
                        </w:r>
                      </w:p>
                    </w:tc>
                  </w:tr>
                  <w:tr>
                    <w:trPr/>
                    <w:tc>
                      <w:tcPr>
                        <w:tcW w:w="1000" w:type="pct"/>
                        <w:tcBorders>
                          <w:top w:val="none" w:color="000000" w:sz="0"/>
                          <w:left w:val="none" w:color="000000" w:sz="0"/>
                          <w:bottom w:val="none" w:color="000000" w:sz="0"/>
                          <w:right w:val="none" w:color="000000" w:sz="0"/>
                        </w:tcBorders>
                        <w:tcMar/>
                        <w:vAlign w:val="top"/>
                      </w:tcPr>
                      <w:p>
                        <w:r>
                          <w:t xml:space="preserve">105 </w:t>
                        </w:r>
                      </w:p>
                    </w:tc>
                    <w:tc>
                      <w:tcPr>
                        <w:tcBorders>
                          <w:top w:val="none" w:color="000000" w:sz="0"/>
                          <w:left w:val="none" w:color="000000" w:sz="0"/>
                          <w:bottom w:val="none" w:color="000000" w:sz="0"/>
                          <w:right w:val="none" w:color="000000" w:sz="0"/>
                        </w:tcBorders>
                        <w:tcMar/>
                        <w:vAlign w:val="top"/>
                      </w:tcPr>
                      <w:p>
                        <w:r>
                          <w:t xml:space="preserve">Nepean Blue Mountains</w:t>
                        </w:r>
                      </w:p>
                    </w:tc>
                  </w:tr>
                  <w:tr>
                    <w:trPr/>
                    <w:tc>
                      <w:tcPr>
                        <w:tcW w:w="1000" w:type="pct"/>
                        <w:tcBorders>
                          <w:top w:val="none" w:color="000000" w:sz="0"/>
                          <w:left w:val="none" w:color="000000" w:sz="0"/>
                          <w:bottom w:val="none" w:color="000000" w:sz="0"/>
                          <w:right w:val="none" w:color="000000" w:sz="0"/>
                        </w:tcBorders>
                        <w:tcMar/>
                        <w:vAlign w:val="top"/>
                      </w:tcPr>
                      <w:p>
                        <w:r>
                          <w:t xml:space="preserve">106 </w:t>
                        </w:r>
                      </w:p>
                    </w:tc>
                    <w:tc>
                      <w:tcPr>
                        <w:tcBorders>
                          <w:top w:val="none" w:color="000000" w:sz="0"/>
                          <w:left w:val="none" w:color="000000" w:sz="0"/>
                          <w:bottom w:val="none" w:color="000000" w:sz="0"/>
                          <w:right w:val="none" w:color="000000" w:sz="0"/>
                        </w:tcBorders>
                        <w:tcMar/>
                        <w:vAlign w:val="top"/>
                      </w:tcPr>
                      <w:p>
                        <w:r>
                          <w:t xml:space="preserve">Northern Sydney</w:t>
                        </w:r>
                      </w:p>
                    </w:tc>
                  </w:tr>
                  <w:tr>
                    <w:trPr/>
                    <w:tc>
                      <w:tcPr>
                        <w:tcW w:w="1000" w:type="pct"/>
                        <w:tcBorders>
                          <w:top w:val="none" w:color="000000" w:sz="0"/>
                          <w:left w:val="none" w:color="000000" w:sz="0"/>
                          <w:bottom w:val="none" w:color="000000" w:sz="0"/>
                          <w:right w:val="none" w:color="000000" w:sz="0"/>
                        </w:tcBorders>
                        <w:tcMar/>
                        <w:vAlign w:val="top"/>
                      </w:tcPr>
                      <w:p>
                        <w:r>
                          <w:t xml:space="preserve">107 </w:t>
                        </w:r>
                      </w:p>
                    </w:tc>
                    <w:tc>
                      <w:tcPr>
                        <w:tcBorders>
                          <w:top w:val="none" w:color="000000" w:sz="0"/>
                          <w:left w:val="none" w:color="000000" w:sz="0"/>
                          <w:bottom w:val="none" w:color="000000" w:sz="0"/>
                          <w:right w:val="none" w:color="000000" w:sz="0"/>
                        </w:tcBorders>
                        <w:tcMar/>
                        <w:vAlign w:val="top"/>
                      </w:tcPr>
                      <w:p>
                        <w:r>
                          <w:t xml:space="preserve">Central Coast</w:t>
                        </w:r>
                      </w:p>
                    </w:tc>
                  </w:tr>
                  <w:tr>
                    <w:trPr/>
                    <w:tc>
                      <w:tcPr>
                        <w:tcW w:w="1000" w:type="pct"/>
                        <w:tcBorders>
                          <w:top w:val="none" w:color="000000" w:sz="0"/>
                          <w:left w:val="none" w:color="000000" w:sz="0"/>
                          <w:bottom w:val="none" w:color="000000" w:sz="0"/>
                          <w:right w:val="none" w:color="000000" w:sz="0"/>
                        </w:tcBorders>
                        <w:tcMar/>
                        <w:vAlign w:val="top"/>
                      </w:tcPr>
                      <w:p>
                        <w:r>
                          <w:t xml:space="preserve">108 </w:t>
                        </w:r>
                      </w:p>
                    </w:tc>
                    <w:tc>
                      <w:tcPr>
                        <w:tcBorders>
                          <w:top w:val="none" w:color="000000" w:sz="0"/>
                          <w:left w:val="none" w:color="000000" w:sz="0"/>
                          <w:bottom w:val="none" w:color="000000" w:sz="0"/>
                          <w:right w:val="none" w:color="000000" w:sz="0"/>
                        </w:tcBorders>
                        <w:tcMar/>
                        <w:vAlign w:val="top"/>
                      </w:tcPr>
                      <w:p>
                        <w:r>
                          <w:t xml:space="preserve">Illawarra Shoalhaven </w:t>
                        </w:r>
                      </w:p>
                    </w:tc>
                  </w:tr>
                  <w:tr>
                    <w:trPr/>
                    <w:tc>
                      <w:tcPr>
                        <w:tcW w:w="1000" w:type="pct"/>
                        <w:tcBorders>
                          <w:top w:val="none" w:color="000000" w:sz="0"/>
                          <w:left w:val="none" w:color="000000" w:sz="0"/>
                          <w:bottom w:val="none" w:color="000000" w:sz="0"/>
                          <w:right w:val="none" w:color="000000" w:sz="0"/>
                        </w:tcBorders>
                        <w:tcMar/>
                        <w:vAlign w:val="top"/>
                      </w:tcPr>
                      <w:p>
                        <w:r>
                          <w:t xml:space="preserve">109 </w:t>
                        </w:r>
                      </w:p>
                    </w:tc>
                    <w:tc>
                      <w:tcPr>
                        <w:tcBorders>
                          <w:top w:val="none" w:color="000000" w:sz="0"/>
                          <w:left w:val="none" w:color="000000" w:sz="0"/>
                          <w:bottom w:val="none" w:color="000000" w:sz="0"/>
                          <w:right w:val="none" w:color="000000" w:sz="0"/>
                        </w:tcBorders>
                        <w:tcMar/>
                        <w:vAlign w:val="top"/>
                      </w:tcPr>
                      <w:p>
                        <w:r>
                          <w:t xml:space="preserve">Hunter New England </w:t>
                        </w:r>
                      </w:p>
                    </w:tc>
                  </w:tr>
                  <w:tr>
                    <w:trPr/>
                    <w:tc>
                      <w:tcPr>
                        <w:tcW w:w="1000" w:type="pct"/>
                        <w:tcBorders>
                          <w:top w:val="none" w:color="000000" w:sz="0"/>
                          <w:left w:val="none" w:color="000000" w:sz="0"/>
                          <w:bottom w:val="none" w:color="000000" w:sz="0"/>
                          <w:right w:val="none" w:color="000000" w:sz="0"/>
                        </w:tcBorders>
                        <w:tcMar/>
                        <w:vAlign w:val="top"/>
                      </w:tcPr>
                      <w:p>
                        <w:r>
                          <w:t xml:space="preserve">110 </w:t>
                        </w:r>
                      </w:p>
                    </w:tc>
                    <w:tc>
                      <w:tcPr>
                        <w:tcBorders>
                          <w:top w:val="none" w:color="000000" w:sz="0"/>
                          <w:left w:val="none" w:color="000000" w:sz="0"/>
                          <w:bottom w:val="none" w:color="000000" w:sz="0"/>
                          <w:right w:val="none" w:color="000000" w:sz="0"/>
                        </w:tcBorders>
                        <w:tcMar/>
                        <w:vAlign w:val="top"/>
                      </w:tcPr>
                      <w:p>
                        <w:r>
                          <w:t xml:space="preserve">Mid North Coast</w:t>
                        </w:r>
                      </w:p>
                    </w:tc>
                  </w:tr>
                  <w:tr>
                    <w:trPr/>
                    <w:tc>
                      <w:tcPr>
                        <w:tcW w:w="1000" w:type="pct"/>
                        <w:tcBorders>
                          <w:top w:val="none" w:color="000000" w:sz="0"/>
                          <w:left w:val="none" w:color="000000" w:sz="0"/>
                          <w:bottom w:val="none" w:color="000000" w:sz="0"/>
                          <w:right w:val="none" w:color="000000" w:sz="0"/>
                        </w:tcBorders>
                        <w:tcMar/>
                        <w:vAlign w:val="top"/>
                      </w:tcPr>
                      <w:p>
                        <w:r>
                          <w:t xml:space="preserve">111 </w:t>
                        </w:r>
                      </w:p>
                    </w:tc>
                    <w:tc>
                      <w:tcPr>
                        <w:tcBorders>
                          <w:top w:val="none" w:color="000000" w:sz="0"/>
                          <w:left w:val="none" w:color="000000" w:sz="0"/>
                          <w:bottom w:val="none" w:color="000000" w:sz="0"/>
                          <w:right w:val="none" w:color="000000" w:sz="0"/>
                        </w:tcBorders>
                        <w:tcMar/>
                        <w:vAlign w:val="top"/>
                      </w:tcPr>
                      <w:p>
                        <w:r>
                          <w:t xml:space="preserve">Northern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112 </w:t>
                        </w:r>
                      </w:p>
                    </w:tc>
                    <w:tc>
                      <w:tcPr>
                        <w:tcBorders>
                          <w:top w:val="none" w:color="000000" w:sz="0"/>
                          <w:left w:val="none" w:color="000000" w:sz="0"/>
                          <w:bottom w:val="none" w:color="000000" w:sz="0"/>
                          <w:right w:val="none" w:color="000000" w:sz="0"/>
                        </w:tcBorders>
                        <w:tcMar/>
                        <w:vAlign w:val="top"/>
                      </w:tcPr>
                      <w:p>
                        <w:r>
                          <w:t xml:space="preserve">Western NSW</w:t>
                        </w:r>
                      </w:p>
                    </w:tc>
                  </w:tr>
                  <w:tr>
                    <w:trPr/>
                    <w:tc>
                      <w:tcPr>
                        <w:tcW w:w="1000" w:type="pct"/>
                        <w:tcBorders>
                          <w:top w:val="none" w:color="000000" w:sz="0"/>
                          <w:left w:val="none" w:color="000000" w:sz="0"/>
                          <w:bottom w:val="none" w:color="000000" w:sz="0"/>
                          <w:right w:val="none" w:color="000000" w:sz="0"/>
                        </w:tcBorders>
                        <w:tcMar/>
                        <w:vAlign w:val="top"/>
                      </w:tcPr>
                      <w:p>
                        <w:r>
                          <w:t xml:space="preserve">113 </w:t>
                        </w:r>
                      </w:p>
                    </w:tc>
                    <w:tc>
                      <w:tcPr>
                        <w:tcBorders>
                          <w:top w:val="none" w:color="000000" w:sz="0"/>
                          <w:left w:val="none" w:color="000000" w:sz="0"/>
                          <w:bottom w:val="none" w:color="000000" w:sz="0"/>
                          <w:right w:val="none" w:color="000000" w:sz="0"/>
                        </w:tcBorders>
                        <w:tcMar/>
                        <w:vAlign w:val="top"/>
                      </w:tcPr>
                      <w:p>
                        <w:r>
                          <w:t xml:space="preserve">Southern NSW </w:t>
                        </w:r>
                      </w:p>
                    </w:tc>
                  </w:tr>
                  <w:tr>
                    <w:trPr/>
                    <w:tc>
                      <w:tcPr>
                        <w:tcW w:w="1000" w:type="pct"/>
                        <w:tcBorders>
                          <w:top w:val="none" w:color="000000" w:sz="0"/>
                          <w:left w:val="none" w:color="000000" w:sz="0"/>
                          <w:bottom w:val="none" w:color="000000" w:sz="0"/>
                          <w:right w:val="none" w:color="000000" w:sz="0"/>
                        </w:tcBorders>
                        <w:tcMar/>
                        <w:vAlign w:val="top"/>
                      </w:tcPr>
                      <w:p>
                        <w:r>
                          <w:t xml:space="preserve">114 </w:t>
                        </w:r>
                      </w:p>
                    </w:tc>
                    <w:tc>
                      <w:tcPr>
                        <w:tcBorders>
                          <w:top w:val="none" w:color="000000" w:sz="0"/>
                          <w:left w:val="none" w:color="000000" w:sz="0"/>
                          <w:bottom w:val="none" w:color="000000" w:sz="0"/>
                          <w:right w:val="none" w:color="000000" w:sz="0"/>
                        </w:tcBorders>
                        <w:tcMar/>
                        <w:vAlign w:val="top"/>
                      </w:tcPr>
                      <w:p>
                        <w:r>
                          <w:t xml:space="preserve">Murrumbidgee </w:t>
                        </w:r>
                      </w:p>
                    </w:tc>
                  </w:tr>
                  <w:tr>
                    <w:trPr/>
                    <w:tc>
                      <w:tcPr>
                        <w:tcW w:w="1000" w:type="pct"/>
                        <w:tcBorders>
                          <w:top w:val="none" w:color="000000" w:sz="0"/>
                          <w:left w:val="none" w:color="000000" w:sz="0"/>
                          <w:bottom w:val="none" w:color="000000" w:sz="0"/>
                          <w:right w:val="none" w:color="000000" w:sz="0"/>
                        </w:tcBorders>
                        <w:tcMar/>
                        <w:vAlign w:val="top"/>
                      </w:tcPr>
                      <w:p>
                        <w:r>
                          <w:t xml:space="preserve">115 </w:t>
                        </w:r>
                      </w:p>
                    </w:tc>
                    <w:tc>
                      <w:tcPr>
                        <w:tcBorders>
                          <w:top w:val="none" w:color="000000" w:sz="0"/>
                          <w:left w:val="none" w:color="000000" w:sz="0"/>
                          <w:bottom w:val="none" w:color="000000" w:sz="0"/>
                          <w:right w:val="none" w:color="000000" w:sz="0"/>
                        </w:tcBorders>
                        <w:tcMar/>
                        <w:vAlign w:val="top"/>
                      </w:tcPr>
                      <w:p>
                        <w:r>
                          <w:t xml:space="preserve">Far West</w:t>
                        </w:r>
                      </w:p>
                    </w:tc>
                  </w:tr>
                  <w:tr>
                    <w:trPr/>
                    <w:tc>
                      <w:tcPr>
                        <w:tcW w:w="1000" w:type="pct"/>
                        <w:tcBorders>
                          <w:top w:val="none" w:color="000000" w:sz="0"/>
                          <w:left w:val="none" w:color="000000" w:sz="0"/>
                          <w:bottom w:val="none" w:color="000000" w:sz="0"/>
                          <w:right w:val="none" w:color="000000" w:sz="0"/>
                        </w:tcBorders>
                        <w:tcMar/>
                        <w:vAlign w:val="top"/>
                      </w:tcPr>
                      <w:p>
                        <w:r>
                          <w:t xml:space="preserve">117 </w:t>
                        </w:r>
                      </w:p>
                    </w:tc>
                    <w:tc>
                      <w:tcPr>
                        <w:tcBorders>
                          <w:top w:val="none" w:color="000000" w:sz="0"/>
                          <w:left w:val="none" w:color="000000" w:sz="0"/>
                          <w:bottom w:val="none" w:color="000000" w:sz="0"/>
                          <w:right w:val="none" w:color="000000" w:sz="0"/>
                        </w:tcBorders>
                        <w:tcMar/>
                        <w:vAlign w:val="top"/>
                      </w:tcPr>
                      <w:p>
                        <w:r>
                          <w:t xml:space="preserve">Sydney Children's Hospitals Network </w:t>
                        </w:r>
                      </w:p>
                    </w:tc>
                  </w:tr>
                  <w:tr>
                    <w:trPr/>
                    <w:tc>
                      <w:tcPr>
                        <w:tcW w:w="1000" w:type="pct"/>
                        <w:tcBorders>
                          <w:top w:val="none" w:color="000000" w:sz="0"/>
                          <w:left w:val="none" w:color="000000" w:sz="0"/>
                          <w:bottom w:val="none" w:color="000000" w:sz="0"/>
                          <w:right w:val="none" w:color="000000" w:sz="0"/>
                        </w:tcBorders>
                        <w:tcMar/>
                        <w:vAlign w:val="top"/>
                      </w:tcPr>
                      <w:p>
                        <w:r>
                          <w:t xml:space="preserve">118 </w:t>
                        </w:r>
                      </w:p>
                    </w:tc>
                    <w:tc>
                      <w:tcPr>
                        <w:tcBorders>
                          <w:top w:val="none" w:color="000000" w:sz="0"/>
                          <w:left w:val="none" w:color="000000" w:sz="0"/>
                          <w:bottom w:val="none" w:color="000000" w:sz="0"/>
                          <w:right w:val="none" w:color="000000" w:sz="0"/>
                        </w:tcBorders>
                        <w:tcMar/>
                        <w:vAlign w:val="top"/>
                      </w:tcPr>
                      <w:p>
                        <w:r>
                          <w:t xml:space="preserve">St Vincent's Health Network</w:t>
                        </w:r>
                      </w:p>
                    </w:tc>
                  </w:tr>
                  <w:tr>
                    <w:trPr/>
                    <w:tc>
                      <w:tcPr>
                        <w:tcW w:w="1000" w:type="pct"/>
                        <w:tcBorders>
                          <w:top w:val="none" w:color="000000" w:sz="0"/>
                          <w:left w:val="none" w:color="000000" w:sz="0"/>
                          <w:bottom w:val="none" w:color="000000" w:sz="0"/>
                          <w:right w:val="none" w:color="000000" w:sz="0"/>
                        </w:tcBorders>
                        <w:tcMar/>
                        <w:vAlign w:val="top"/>
                      </w:tcPr>
                      <w:p>
                        <w:r>
                          <w:t xml:space="preserve">119 </w:t>
                        </w:r>
                      </w:p>
                    </w:tc>
                    <w:tc>
                      <w:tcPr>
                        <w:tcBorders>
                          <w:top w:val="none" w:color="000000" w:sz="0"/>
                          <w:left w:val="none" w:color="000000" w:sz="0"/>
                          <w:bottom w:val="none" w:color="000000" w:sz="0"/>
                          <w:right w:val="none" w:color="000000" w:sz="0"/>
                        </w:tcBorders>
                        <w:tcMar/>
                        <w:vAlign w:val="top"/>
                      </w:tcPr>
                      <w:p>
                        <w:r>
                          <w:t xml:space="preserve">Justice Health &amp;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Beaufort and Skipton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202 </w:t>
                        </w:r>
                      </w:p>
                    </w:tc>
                    <w:tc>
                      <w:tcPr>
                        <w:tcBorders>
                          <w:top w:val="none" w:color="000000" w:sz="0"/>
                          <w:left w:val="none" w:color="000000" w:sz="0"/>
                          <w:bottom w:val="none" w:color="000000" w:sz="0"/>
                          <w:right w:val="none" w:color="000000" w:sz="0"/>
                        </w:tcBorders>
                        <w:tcMar/>
                        <w:vAlign w:val="top"/>
                      </w:tcPr>
                      <w:p>
                        <w:r>
                          <w:t xml:space="preserve">East Grampians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203 </w:t>
                        </w:r>
                      </w:p>
                    </w:tc>
                    <w:tc>
                      <w:tcPr>
                        <w:tcBorders>
                          <w:top w:val="none" w:color="000000" w:sz="0"/>
                          <w:left w:val="none" w:color="000000" w:sz="0"/>
                          <w:bottom w:val="none" w:color="000000" w:sz="0"/>
                          <w:right w:val="none" w:color="000000" w:sz="0"/>
                        </w:tcBorders>
                        <w:tcMar/>
                        <w:vAlign w:val="top"/>
                      </w:tcPr>
                      <w:p>
                        <w:r>
                          <w:t xml:space="preserve">Ballarat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204 </w:t>
                        </w:r>
                      </w:p>
                    </w:tc>
                    <w:tc>
                      <w:tcPr>
                        <w:tcBorders>
                          <w:top w:val="none" w:color="000000" w:sz="0"/>
                          <w:left w:val="none" w:color="000000" w:sz="0"/>
                          <w:bottom w:val="none" w:color="000000" w:sz="0"/>
                          <w:right w:val="none" w:color="000000" w:sz="0"/>
                        </w:tcBorders>
                        <w:tcMar/>
                        <w:vAlign w:val="top"/>
                      </w:tcPr>
                      <w:p>
                        <w:r>
                          <w:t xml:space="preserve">Stawell Regional Health</w:t>
                        </w:r>
                      </w:p>
                    </w:tc>
                  </w:tr>
                  <w:tr>
                    <w:trPr/>
                    <w:tc>
                      <w:tcPr>
                        <w:tcW w:w="1000" w:type="pct"/>
                        <w:tcBorders>
                          <w:top w:val="none" w:color="000000" w:sz="0"/>
                          <w:left w:val="none" w:color="000000" w:sz="0"/>
                          <w:bottom w:val="none" w:color="000000" w:sz="0"/>
                          <w:right w:val="none" w:color="000000" w:sz="0"/>
                        </w:tcBorders>
                        <w:tcMar/>
                        <w:vAlign w:val="top"/>
                      </w:tcPr>
                      <w:p>
                        <w:r>
                          <w:t xml:space="preserve">205 </w:t>
                        </w:r>
                      </w:p>
                    </w:tc>
                    <w:tc>
                      <w:tcPr>
                        <w:tcBorders>
                          <w:top w:val="none" w:color="000000" w:sz="0"/>
                          <w:left w:val="none" w:color="000000" w:sz="0"/>
                          <w:bottom w:val="none" w:color="000000" w:sz="0"/>
                          <w:right w:val="none" w:color="000000" w:sz="0"/>
                        </w:tcBorders>
                        <w:tcMar/>
                        <w:vAlign w:val="top"/>
                      </w:tcPr>
                      <w:p>
                        <w:r>
                          <w:t xml:space="preserve">East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206 </w:t>
                        </w:r>
                      </w:p>
                    </w:tc>
                    <w:tc>
                      <w:tcPr>
                        <w:tcBorders>
                          <w:top w:val="none" w:color="000000" w:sz="0"/>
                          <w:left w:val="none" w:color="000000" w:sz="0"/>
                          <w:bottom w:val="none" w:color="000000" w:sz="0"/>
                          <w:right w:val="none" w:color="000000" w:sz="0"/>
                        </w:tcBorders>
                        <w:tcMar/>
                        <w:vAlign w:val="top"/>
                      </w:tcPr>
                      <w:p>
                        <w:r>
                          <w:t xml:space="preserve">Hepburn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207 </w:t>
                        </w:r>
                      </w:p>
                    </w:tc>
                    <w:tc>
                      <w:tcPr>
                        <w:tcBorders>
                          <w:top w:val="none" w:color="000000" w:sz="0"/>
                          <w:left w:val="none" w:color="000000" w:sz="0"/>
                          <w:bottom w:val="none" w:color="000000" w:sz="0"/>
                          <w:right w:val="none" w:color="000000" w:sz="0"/>
                        </w:tcBorders>
                        <w:tcMar/>
                        <w:vAlign w:val="top"/>
                      </w:tcPr>
                      <w:p>
                        <w:r>
                          <w:t xml:space="preserve">Maryborough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208 </w:t>
                        </w:r>
                      </w:p>
                    </w:tc>
                    <w:tc>
                      <w:tcPr>
                        <w:tcBorders>
                          <w:top w:val="none" w:color="000000" w:sz="0"/>
                          <w:left w:val="none" w:color="000000" w:sz="0"/>
                          <w:bottom w:val="none" w:color="000000" w:sz="0"/>
                          <w:right w:val="none" w:color="000000" w:sz="0"/>
                        </w:tcBorders>
                        <w:tcMar/>
                        <w:vAlign w:val="top"/>
                      </w:tcPr>
                      <w:p>
                        <w:r>
                          <w:t xml:space="preserve">Djerriwarrh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209 </w:t>
                        </w:r>
                      </w:p>
                    </w:tc>
                    <w:tc>
                      <w:tcPr>
                        <w:tcBorders>
                          <w:top w:val="none" w:color="000000" w:sz="0"/>
                          <w:left w:val="none" w:color="000000" w:sz="0"/>
                          <w:bottom w:val="none" w:color="000000" w:sz="0"/>
                          <w:right w:val="none" w:color="000000" w:sz="0"/>
                        </w:tcBorders>
                        <w:tcMar/>
                        <w:vAlign w:val="top"/>
                      </w:tcPr>
                      <w:p>
                        <w:r>
                          <w:t xml:space="preserve">Western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210 </w:t>
                        </w:r>
                      </w:p>
                    </w:tc>
                    <w:tc>
                      <w:tcPr>
                        <w:tcBorders>
                          <w:top w:val="none" w:color="000000" w:sz="0"/>
                          <w:left w:val="none" w:color="000000" w:sz="0"/>
                          <w:bottom w:val="none" w:color="000000" w:sz="0"/>
                          <w:right w:val="none" w:color="000000" w:sz="0"/>
                        </w:tcBorders>
                        <w:tcMar/>
                        <w:vAlign w:val="top"/>
                      </w:tcPr>
                      <w:p>
                        <w:r>
                          <w:t xml:space="preserve">Bendigo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211 </w:t>
                        </w:r>
                      </w:p>
                    </w:tc>
                    <w:tc>
                      <w:tcPr>
                        <w:tcBorders>
                          <w:top w:val="none" w:color="000000" w:sz="0"/>
                          <w:left w:val="none" w:color="000000" w:sz="0"/>
                          <w:bottom w:val="none" w:color="000000" w:sz="0"/>
                          <w:right w:val="none" w:color="000000" w:sz="0"/>
                        </w:tcBorders>
                        <w:tcMar/>
                        <w:vAlign w:val="top"/>
                      </w:tcPr>
                      <w:p>
                        <w:r>
                          <w:t xml:space="preserve">Heathcote Health</w:t>
                        </w:r>
                      </w:p>
                    </w:tc>
                  </w:tr>
                  <w:tr>
                    <w:trPr/>
                    <w:tc>
                      <w:tcPr>
                        <w:tcW w:w="1000" w:type="pct"/>
                        <w:tcBorders>
                          <w:top w:val="none" w:color="000000" w:sz="0"/>
                          <w:left w:val="none" w:color="000000" w:sz="0"/>
                          <w:bottom w:val="none" w:color="000000" w:sz="0"/>
                          <w:right w:val="none" w:color="000000" w:sz="0"/>
                        </w:tcBorders>
                        <w:tcMar/>
                        <w:vAlign w:val="top"/>
                      </w:tcPr>
                      <w:p>
                        <w:r>
                          <w:t xml:space="preserve">212 </w:t>
                        </w:r>
                      </w:p>
                    </w:tc>
                    <w:tc>
                      <w:tcPr>
                        <w:tcBorders>
                          <w:top w:val="none" w:color="000000" w:sz="0"/>
                          <w:left w:val="none" w:color="000000" w:sz="0"/>
                          <w:bottom w:val="none" w:color="000000" w:sz="0"/>
                          <w:right w:val="none" w:color="000000" w:sz="0"/>
                        </w:tcBorders>
                        <w:tcMar/>
                        <w:vAlign w:val="top"/>
                      </w:tcPr>
                      <w:p>
                        <w:r>
                          <w:t xml:space="preserve">Swan Hill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213 </w:t>
                        </w:r>
                      </w:p>
                    </w:tc>
                    <w:tc>
                      <w:tcPr>
                        <w:tcBorders>
                          <w:top w:val="none" w:color="000000" w:sz="0"/>
                          <w:left w:val="none" w:color="000000" w:sz="0"/>
                          <w:bottom w:val="none" w:color="000000" w:sz="0"/>
                          <w:right w:val="none" w:color="000000" w:sz="0"/>
                        </w:tcBorders>
                        <w:tcMar/>
                        <w:vAlign w:val="top"/>
                      </w:tcPr>
                      <w:p>
                        <w:r>
                          <w:t xml:space="preserve">Cohuna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214 </w:t>
                        </w:r>
                      </w:p>
                    </w:tc>
                    <w:tc>
                      <w:tcPr>
                        <w:tcBorders>
                          <w:top w:val="none" w:color="000000" w:sz="0"/>
                          <w:left w:val="none" w:color="000000" w:sz="0"/>
                          <w:bottom w:val="none" w:color="000000" w:sz="0"/>
                          <w:right w:val="none" w:color="000000" w:sz="0"/>
                        </w:tcBorders>
                        <w:tcMar/>
                        <w:vAlign w:val="top"/>
                      </w:tcPr>
                      <w:p>
                        <w:r>
                          <w:t xml:space="preserve">Echuca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215 </w:t>
                        </w:r>
                      </w:p>
                    </w:tc>
                    <w:tc>
                      <w:tcPr>
                        <w:tcBorders>
                          <w:top w:val="none" w:color="000000" w:sz="0"/>
                          <w:left w:val="none" w:color="000000" w:sz="0"/>
                          <w:bottom w:val="none" w:color="000000" w:sz="0"/>
                          <w:right w:val="none" w:color="000000" w:sz="0"/>
                        </w:tcBorders>
                        <w:tcMar/>
                        <w:vAlign w:val="top"/>
                      </w:tcPr>
                      <w:p>
                        <w:r>
                          <w:t xml:space="preserve">Kerang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216 </w:t>
                        </w:r>
                      </w:p>
                    </w:tc>
                    <w:tc>
                      <w:tcPr>
                        <w:tcBorders>
                          <w:top w:val="none" w:color="000000" w:sz="0"/>
                          <w:left w:val="none" w:color="000000" w:sz="0"/>
                          <w:bottom w:val="none" w:color="000000" w:sz="0"/>
                          <w:right w:val="none" w:color="000000" w:sz="0"/>
                        </w:tcBorders>
                        <w:tcMar/>
                        <w:vAlign w:val="top"/>
                      </w:tcPr>
                      <w:p>
                        <w:r>
                          <w:t xml:space="preserve">Maldon Hospital</w:t>
                        </w:r>
                      </w:p>
                    </w:tc>
                  </w:tr>
                  <w:tr>
                    <w:trPr/>
                    <w:tc>
                      <w:tcPr>
                        <w:tcW w:w="1000" w:type="pct"/>
                        <w:tcBorders>
                          <w:top w:val="none" w:color="000000" w:sz="0"/>
                          <w:left w:val="none" w:color="000000" w:sz="0"/>
                          <w:bottom w:val="none" w:color="000000" w:sz="0"/>
                          <w:right w:val="none" w:color="000000" w:sz="0"/>
                        </w:tcBorders>
                        <w:tcMar/>
                        <w:vAlign w:val="top"/>
                      </w:tcPr>
                      <w:p>
                        <w:r>
                          <w:t xml:space="preserve">218 </w:t>
                        </w:r>
                      </w:p>
                    </w:tc>
                    <w:tc>
                      <w:tcPr>
                        <w:tcBorders>
                          <w:top w:val="none" w:color="000000" w:sz="0"/>
                          <w:left w:val="none" w:color="000000" w:sz="0"/>
                          <w:bottom w:val="none" w:color="000000" w:sz="0"/>
                          <w:right w:val="none" w:color="000000" w:sz="0"/>
                        </w:tcBorders>
                        <w:tcMar/>
                        <w:vAlign w:val="top"/>
                      </w:tcPr>
                      <w:p>
                        <w:r>
                          <w:t xml:space="preserve">Boort District Health</w:t>
                        </w:r>
                      </w:p>
                    </w:tc>
                  </w:tr>
                  <w:tr>
                    <w:trPr/>
                    <w:tc>
                      <w:tcPr>
                        <w:tcW w:w="1000" w:type="pct"/>
                        <w:tcBorders>
                          <w:top w:val="none" w:color="000000" w:sz="0"/>
                          <w:left w:val="none" w:color="000000" w:sz="0"/>
                          <w:bottom w:val="none" w:color="000000" w:sz="0"/>
                          <w:right w:val="none" w:color="000000" w:sz="0"/>
                        </w:tcBorders>
                        <w:tcMar/>
                        <w:vAlign w:val="top"/>
                      </w:tcPr>
                      <w:p>
                        <w:r>
                          <w:t xml:space="preserve">219 </w:t>
                        </w:r>
                      </w:p>
                    </w:tc>
                    <w:tc>
                      <w:tcPr>
                        <w:tcBorders>
                          <w:top w:val="none" w:color="000000" w:sz="0"/>
                          <w:left w:val="none" w:color="000000" w:sz="0"/>
                          <w:bottom w:val="none" w:color="000000" w:sz="0"/>
                          <w:right w:val="none" w:color="000000" w:sz="0"/>
                        </w:tcBorders>
                        <w:tcMar/>
                        <w:vAlign w:val="top"/>
                      </w:tcPr>
                      <w:p>
                        <w:r>
                          <w:t xml:space="preserve">Rochester and Elmore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220 </w:t>
                        </w:r>
                      </w:p>
                    </w:tc>
                    <w:tc>
                      <w:tcPr>
                        <w:tcBorders>
                          <w:top w:val="none" w:color="000000" w:sz="0"/>
                          <w:left w:val="none" w:color="000000" w:sz="0"/>
                          <w:bottom w:val="none" w:color="000000" w:sz="0"/>
                          <w:right w:val="none" w:color="000000" w:sz="0"/>
                        </w:tcBorders>
                        <w:tcMar/>
                        <w:vAlign w:val="top"/>
                      </w:tcPr>
                      <w:p>
                        <w:r>
                          <w:t xml:space="preserve">Inglewood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221 </w:t>
                        </w:r>
                      </w:p>
                    </w:tc>
                    <w:tc>
                      <w:tcPr>
                        <w:tcBorders>
                          <w:top w:val="none" w:color="000000" w:sz="0"/>
                          <w:left w:val="none" w:color="000000" w:sz="0"/>
                          <w:bottom w:val="none" w:color="000000" w:sz="0"/>
                          <w:right w:val="none" w:color="000000" w:sz="0"/>
                        </w:tcBorders>
                        <w:tcMar/>
                        <w:vAlign w:val="top"/>
                      </w:tcPr>
                      <w:p>
                        <w:r>
                          <w:t xml:space="preserve">Castlemaine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222 </w:t>
                        </w:r>
                      </w:p>
                    </w:tc>
                    <w:tc>
                      <w:tcPr>
                        <w:tcBorders>
                          <w:top w:val="none" w:color="000000" w:sz="0"/>
                          <w:left w:val="none" w:color="000000" w:sz="0"/>
                          <w:bottom w:val="none" w:color="000000" w:sz="0"/>
                          <w:right w:val="none" w:color="000000" w:sz="0"/>
                        </w:tcBorders>
                        <w:tcMar/>
                        <w:vAlign w:val="top"/>
                      </w:tcPr>
                      <w:p>
                        <w:r>
                          <w:t xml:space="preserve">Kyneton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223 </w:t>
                        </w:r>
                      </w:p>
                    </w:tc>
                    <w:tc>
                      <w:tcPr>
                        <w:tcBorders>
                          <w:top w:val="none" w:color="000000" w:sz="0"/>
                          <w:left w:val="none" w:color="000000" w:sz="0"/>
                          <w:bottom w:val="none" w:color="000000" w:sz="0"/>
                          <w:right w:val="none" w:color="000000" w:sz="0"/>
                        </w:tcBorders>
                        <w:tcMar/>
                        <w:vAlign w:val="top"/>
                      </w:tcPr>
                      <w:p>
                        <w:r>
                          <w:t xml:space="preserve">Royal Children's Hospital (Melbourne)</w:t>
                        </w:r>
                      </w:p>
                    </w:tc>
                  </w:tr>
                  <w:tr>
                    <w:trPr/>
                    <w:tc>
                      <w:tcPr>
                        <w:tcW w:w="1000" w:type="pct"/>
                        <w:tcBorders>
                          <w:top w:val="none" w:color="000000" w:sz="0"/>
                          <w:left w:val="none" w:color="000000" w:sz="0"/>
                          <w:bottom w:val="none" w:color="000000" w:sz="0"/>
                          <w:right w:val="none" w:color="000000" w:sz="0"/>
                        </w:tcBorders>
                        <w:tcMar/>
                        <w:vAlign w:val="top"/>
                      </w:tcPr>
                      <w:p>
                        <w:r>
                          <w:t xml:space="preserve">224 </w:t>
                        </w:r>
                      </w:p>
                    </w:tc>
                    <w:tc>
                      <w:tcPr>
                        <w:tcBorders>
                          <w:top w:val="none" w:color="000000" w:sz="0"/>
                          <w:left w:val="none" w:color="000000" w:sz="0"/>
                          <w:bottom w:val="none" w:color="000000" w:sz="0"/>
                          <w:right w:val="none" w:color="000000" w:sz="0"/>
                        </w:tcBorders>
                        <w:tcMar/>
                        <w:vAlign w:val="top"/>
                      </w:tcPr>
                      <w:p>
                        <w:r>
                          <w:t xml:space="preserve">Royal Women's Hospital (Melbourne) </w:t>
                        </w:r>
                      </w:p>
                    </w:tc>
                  </w:tr>
                  <w:tr>
                    <w:trPr/>
                    <w:tc>
                      <w:tcPr>
                        <w:tcW w:w="1000" w:type="pct"/>
                        <w:tcBorders>
                          <w:top w:val="none" w:color="000000" w:sz="0"/>
                          <w:left w:val="none" w:color="000000" w:sz="0"/>
                          <w:bottom w:val="none" w:color="000000" w:sz="0"/>
                          <w:right w:val="none" w:color="000000" w:sz="0"/>
                        </w:tcBorders>
                        <w:tcMar/>
                        <w:vAlign w:val="top"/>
                      </w:tcPr>
                      <w:p>
                        <w:r>
                          <w:t xml:space="preserve">225 </w:t>
                        </w:r>
                      </w:p>
                    </w:tc>
                    <w:tc>
                      <w:tcPr>
                        <w:tcBorders>
                          <w:top w:val="none" w:color="000000" w:sz="0"/>
                          <w:left w:val="none" w:color="000000" w:sz="0"/>
                          <w:bottom w:val="none" w:color="000000" w:sz="0"/>
                          <w:right w:val="none" w:color="000000" w:sz="0"/>
                        </w:tcBorders>
                        <w:tcMar/>
                        <w:vAlign w:val="top"/>
                      </w:tcPr>
                      <w:p>
                        <w:r>
                          <w:t xml:space="preserve">Melbourne Health </w:t>
                        </w:r>
                      </w:p>
                    </w:tc>
                  </w:tr>
                  <w:tr>
                    <w:trPr/>
                    <w:tc>
                      <w:tcPr>
                        <w:tcW w:w="1000" w:type="pct"/>
                        <w:tcBorders>
                          <w:top w:val="none" w:color="000000" w:sz="0"/>
                          <w:left w:val="none" w:color="000000" w:sz="0"/>
                          <w:bottom w:val="none" w:color="000000" w:sz="0"/>
                          <w:right w:val="none" w:color="000000" w:sz="0"/>
                        </w:tcBorders>
                        <w:tcMar/>
                        <w:vAlign w:val="top"/>
                      </w:tcPr>
                      <w:p>
                        <w:r>
                          <w:t xml:space="preserve">226 </w:t>
                        </w:r>
                      </w:p>
                    </w:tc>
                    <w:tc>
                      <w:tcPr>
                        <w:tcBorders>
                          <w:top w:val="none" w:color="000000" w:sz="0"/>
                          <w:left w:val="none" w:color="000000" w:sz="0"/>
                          <w:bottom w:val="none" w:color="000000" w:sz="0"/>
                          <w:right w:val="none" w:color="000000" w:sz="0"/>
                        </w:tcBorders>
                        <w:tcMar/>
                        <w:vAlign w:val="top"/>
                      </w:tcPr>
                      <w:p>
                        <w:r>
                          <w:t xml:space="preserve">Northern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227 </w:t>
                        </w:r>
                      </w:p>
                    </w:tc>
                    <w:tc>
                      <w:tcPr>
                        <w:tcBorders>
                          <w:top w:val="none" w:color="000000" w:sz="0"/>
                          <w:left w:val="none" w:color="000000" w:sz="0"/>
                          <w:bottom w:val="none" w:color="000000" w:sz="0"/>
                          <w:right w:val="none" w:color="000000" w:sz="0"/>
                        </w:tcBorders>
                        <w:tcMar/>
                        <w:vAlign w:val="top"/>
                      </w:tcPr>
                      <w:p>
                        <w:r>
                          <w:t xml:space="preserve">Victorian Institute of Forensic 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228 </w:t>
                        </w:r>
                      </w:p>
                    </w:tc>
                    <w:tc>
                      <w:tcPr>
                        <w:tcBorders>
                          <w:top w:val="none" w:color="000000" w:sz="0"/>
                          <w:left w:val="none" w:color="000000" w:sz="0"/>
                          <w:bottom w:val="none" w:color="000000" w:sz="0"/>
                          <w:right w:val="none" w:color="000000" w:sz="0"/>
                        </w:tcBorders>
                        <w:tcMar/>
                        <w:vAlign w:val="top"/>
                      </w:tcPr>
                      <w:p>
                        <w:r>
                          <w:t xml:space="preserve">Colac Area Health</w:t>
                        </w:r>
                      </w:p>
                    </w:tc>
                  </w:tr>
                  <w:tr>
                    <w:trPr/>
                    <w:tc>
                      <w:tcPr>
                        <w:tcW w:w="1000" w:type="pct"/>
                        <w:tcBorders>
                          <w:top w:val="none" w:color="000000" w:sz="0"/>
                          <w:left w:val="none" w:color="000000" w:sz="0"/>
                          <w:bottom w:val="none" w:color="000000" w:sz="0"/>
                          <w:right w:val="none" w:color="000000" w:sz="0"/>
                        </w:tcBorders>
                        <w:tcMar/>
                        <w:vAlign w:val="top"/>
                      </w:tcPr>
                      <w:p>
                        <w:r>
                          <w:t xml:space="preserve">229 </w:t>
                        </w:r>
                      </w:p>
                    </w:tc>
                    <w:tc>
                      <w:tcPr>
                        <w:tcBorders>
                          <w:top w:val="none" w:color="000000" w:sz="0"/>
                          <w:left w:val="none" w:color="000000" w:sz="0"/>
                          <w:bottom w:val="none" w:color="000000" w:sz="0"/>
                          <w:right w:val="none" w:color="000000" w:sz="0"/>
                        </w:tcBorders>
                        <w:tcMar/>
                        <w:vAlign w:val="top"/>
                      </w:tcPr>
                      <w:p>
                        <w:r>
                          <w:t xml:space="preserve">Hesse Rural Health Service (Winchelsea)</w:t>
                        </w:r>
                      </w:p>
                    </w:tc>
                  </w:tr>
                  <w:tr>
                    <w:trPr/>
                    <w:tc>
                      <w:tcPr>
                        <w:tcW w:w="1000" w:type="pct"/>
                        <w:tcBorders>
                          <w:top w:val="none" w:color="000000" w:sz="0"/>
                          <w:left w:val="none" w:color="000000" w:sz="0"/>
                          <w:bottom w:val="none" w:color="000000" w:sz="0"/>
                          <w:right w:val="none" w:color="000000" w:sz="0"/>
                        </w:tcBorders>
                        <w:tcMar/>
                        <w:vAlign w:val="top"/>
                      </w:tcPr>
                      <w:p>
                        <w:r>
                          <w:t xml:space="preserve">230 </w:t>
                        </w:r>
                      </w:p>
                    </w:tc>
                    <w:tc>
                      <w:tcPr>
                        <w:tcBorders>
                          <w:top w:val="none" w:color="000000" w:sz="0"/>
                          <w:left w:val="none" w:color="000000" w:sz="0"/>
                          <w:bottom w:val="none" w:color="000000" w:sz="0"/>
                          <w:right w:val="none" w:color="000000" w:sz="0"/>
                        </w:tcBorders>
                        <w:tcMar/>
                        <w:vAlign w:val="top"/>
                      </w:tcPr>
                      <w:p>
                        <w:r>
                          <w:t xml:space="preserve">Otway Health and Community Services (Apollo Bay) </w:t>
                        </w:r>
                      </w:p>
                    </w:tc>
                  </w:tr>
                  <w:tr>
                    <w:trPr/>
                    <w:tc>
                      <w:tcPr>
                        <w:tcW w:w="1000" w:type="pct"/>
                        <w:tcBorders>
                          <w:top w:val="none" w:color="000000" w:sz="0"/>
                          <w:left w:val="none" w:color="000000" w:sz="0"/>
                          <w:bottom w:val="none" w:color="000000" w:sz="0"/>
                          <w:right w:val="none" w:color="000000" w:sz="0"/>
                        </w:tcBorders>
                        <w:tcMar/>
                        <w:vAlign w:val="top"/>
                      </w:tcPr>
                      <w:p>
                        <w:r>
                          <w:t xml:space="preserve">231 </w:t>
                        </w:r>
                      </w:p>
                    </w:tc>
                    <w:tc>
                      <w:tcPr>
                        <w:tcBorders>
                          <w:top w:val="none" w:color="000000" w:sz="0"/>
                          <w:left w:val="none" w:color="000000" w:sz="0"/>
                          <w:bottom w:val="none" w:color="000000" w:sz="0"/>
                          <w:right w:val="none" w:color="000000" w:sz="0"/>
                        </w:tcBorders>
                        <w:tcMar/>
                        <w:vAlign w:val="top"/>
                      </w:tcPr>
                      <w:p>
                        <w:r>
                          <w:t xml:space="preserve">Barwon Health</w:t>
                        </w:r>
                      </w:p>
                    </w:tc>
                  </w:tr>
                  <w:tr>
                    <w:trPr/>
                    <w:tc>
                      <w:tcPr>
                        <w:tcW w:w="1000" w:type="pct"/>
                        <w:tcBorders>
                          <w:top w:val="none" w:color="000000" w:sz="0"/>
                          <w:left w:val="none" w:color="000000" w:sz="0"/>
                          <w:bottom w:val="none" w:color="000000" w:sz="0"/>
                          <w:right w:val="none" w:color="000000" w:sz="0"/>
                        </w:tcBorders>
                        <w:tcMar/>
                        <w:vAlign w:val="top"/>
                      </w:tcPr>
                      <w:p>
                        <w:r>
                          <w:t xml:space="preserve">232 </w:t>
                        </w:r>
                      </w:p>
                    </w:tc>
                    <w:tc>
                      <w:tcPr>
                        <w:tcBorders>
                          <w:top w:val="none" w:color="000000" w:sz="0"/>
                          <w:left w:val="none" w:color="000000" w:sz="0"/>
                          <w:bottom w:val="none" w:color="000000" w:sz="0"/>
                          <w:right w:val="none" w:color="000000" w:sz="0"/>
                        </w:tcBorders>
                        <w:tcMar/>
                        <w:vAlign w:val="top"/>
                      </w:tcPr>
                      <w:p>
                        <w:r>
                          <w:t xml:space="preserve">Lorne Community Hospital </w:t>
                        </w:r>
                      </w:p>
                    </w:tc>
                  </w:tr>
                  <w:tr>
                    <w:trPr/>
                    <w:tc>
                      <w:tcPr>
                        <w:tcW w:w="1000" w:type="pct"/>
                        <w:tcBorders>
                          <w:top w:val="none" w:color="000000" w:sz="0"/>
                          <w:left w:val="none" w:color="000000" w:sz="0"/>
                          <w:bottom w:val="none" w:color="000000" w:sz="0"/>
                          <w:right w:val="none" w:color="000000" w:sz="0"/>
                        </w:tcBorders>
                        <w:tcMar/>
                        <w:vAlign w:val="top"/>
                      </w:tcPr>
                      <w:p>
                        <w:r>
                          <w:t xml:space="preserve">233 </w:t>
                        </w:r>
                      </w:p>
                    </w:tc>
                    <w:tc>
                      <w:tcPr>
                        <w:tcBorders>
                          <w:top w:val="none" w:color="000000" w:sz="0"/>
                          <w:left w:val="none" w:color="000000" w:sz="0"/>
                          <w:bottom w:val="none" w:color="000000" w:sz="0"/>
                          <w:right w:val="none" w:color="000000" w:sz="0"/>
                        </w:tcBorders>
                        <w:tcMar/>
                        <w:vAlign w:val="top"/>
                      </w:tcPr>
                      <w:p>
                        <w:r>
                          <w:t xml:space="preserve">Alexandra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234 </w:t>
                        </w:r>
                      </w:p>
                    </w:tc>
                    <w:tc>
                      <w:tcPr>
                        <w:tcBorders>
                          <w:top w:val="none" w:color="000000" w:sz="0"/>
                          <w:left w:val="none" w:color="000000" w:sz="0"/>
                          <w:bottom w:val="none" w:color="000000" w:sz="0"/>
                          <w:right w:val="none" w:color="000000" w:sz="0"/>
                        </w:tcBorders>
                        <w:tcMar/>
                        <w:vAlign w:val="top"/>
                      </w:tcPr>
                      <w:p>
                        <w:r>
                          <w:t xml:space="preserve">Eastern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235 </w:t>
                        </w:r>
                      </w:p>
                    </w:tc>
                    <w:tc>
                      <w:tcPr>
                        <w:tcBorders>
                          <w:top w:val="none" w:color="000000" w:sz="0"/>
                          <w:left w:val="none" w:color="000000" w:sz="0"/>
                          <w:bottom w:val="none" w:color="000000" w:sz="0"/>
                          <w:right w:val="none" w:color="000000" w:sz="0"/>
                        </w:tcBorders>
                        <w:tcMar/>
                        <w:vAlign w:val="top"/>
                      </w:tcPr>
                      <w:p>
                        <w:r>
                          <w:t xml:space="preserve">Goulburn Valley Health </w:t>
                        </w:r>
                      </w:p>
                    </w:tc>
                  </w:tr>
                  <w:tr>
                    <w:trPr/>
                    <w:tc>
                      <w:tcPr>
                        <w:tcW w:w="1000" w:type="pct"/>
                        <w:tcBorders>
                          <w:top w:val="none" w:color="000000" w:sz="0"/>
                          <w:left w:val="none" w:color="000000" w:sz="0"/>
                          <w:bottom w:val="none" w:color="000000" w:sz="0"/>
                          <w:right w:val="none" w:color="000000" w:sz="0"/>
                        </w:tcBorders>
                        <w:tcMar/>
                        <w:vAlign w:val="top"/>
                      </w:tcPr>
                      <w:p>
                        <w:r>
                          <w:t xml:space="preserve">236 </w:t>
                        </w:r>
                      </w:p>
                    </w:tc>
                    <w:tc>
                      <w:tcPr>
                        <w:tcBorders>
                          <w:top w:val="none" w:color="000000" w:sz="0"/>
                          <w:left w:val="none" w:color="000000" w:sz="0"/>
                          <w:bottom w:val="none" w:color="000000" w:sz="0"/>
                          <w:right w:val="none" w:color="000000" w:sz="0"/>
                        </w:tcBorders>
                        <w:tcMar/>
                        <w:vAlign w:val="top"/>
                      </w:tcPr>
                      <w:p>
                        <w:r>
                          <w:t xml:space="preserve">Kyabram and District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237 </w:t>
                        </w:r>
                      </w:p>
                    </w:tc>
                    <w:tc>
                      <w:tcPr>
                        <w:tcBorders>
                          <w:top w:val="none" w:color="000000" w:sz="0"/>
                          <w:left w:val="none" w:color="000000" w:sz="0"/>
                          <w:bottom w:val="none" w:color="000000" w:sz="0"/>
                          <w:right w:val="none" w:color="000000" w:sz="0"/>
                        </w:tcBorders>
                        <w:tcMar/>
                        <w:vAlign w:val="top"/>
                      </w:tcPr>
                      <w:p>
                        <w:r>
                          <w:t xml:space="preserve">Numurkah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238 </w:t>
                        </w:r>
                      </w:p>
                    </w:tc>
                    <w:tc>
                      <w:tcPr>
                        <w:tcBorders>
                          <w:top w:val="none" w:color="000000" w:sz="0"/>
                          <w:left w:val="none" w:color="000000" w:sz="0"/>
                          <w:bottom w:val="none" w:color="000000" w:sz="0"/>
                          <w:right w:val="none" w:color="000000" w:sz="0"/>
                        </w:tcBorders>
                        <w:tcMar/>
                        <w:vAlign w:val="top"/>
                      </w:tcPr>
                      <w:p>
                        <w:r>
                          <w:t xml:space="preserve">Nathalia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239 </w:t>
                        </w:r>
                      </w:p>
                    </w:tc>
                    <w:tc>
                      <w:tcPr>
                        <w:tcBorders>
                          <w:top w:val="none" w:color="000000" w:sz="0"/>
                          <w:left w:val="none" w:color="000000" w:sz="0"/>
                          <w:bottom w:val="none" w:color="000000" w:sz="0"/>
                          <w:right w:val="none" w:color="000000" w:sz="0"/>
                        </w:tcBorders>
                        <w:tcMar/>
                        <w:vAlign w:val="top"/>
                      </w:tcPr>
                      <w:p>
                        <w:r>
                          <w:t xml:space="preserve">Cobram District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240 </w:t>
                        </w:r>
                      </w:p>
                    </w:tc>
                    <w:tc>
                      <w:tcPr>
                        <w:tcBorders>
                          <w:top w:val="none" w:color="000000" w:sz="0"/>
                          <w:left w:val="none" w:color="000000" w:sz="0"/>
                          <w:bottom w:val="none" w:color="000000" w:sz="0"/>
                          <w:right w:val="none" w:color="000000" w:sz="0"/>
                        </w:tcBorders>
                        <w:tcMar/>
                        <w:vAlign w:val="top"/>
                      </w:tcPr>
                      <w:p>
                        <w:r>
                          <w:t xml:space="preserve">Seymour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241 </w:t>
                        </w:r>
                      </w:p>
                    </w:tc>
                    <w:tc>
                      <w:tcPr>
                        <w:tcBorders>
                          <w:top w:val="none" w:color="000000" w:sz="0"/>
                          <w:left w:val="none" w:color="000000" w:sz="0"/>
                          <w:bottom w:val="none" w:color="000000" w:sz="0"/>
                          <w:right w:val="none" w:color="000000" w:sz="0"/>
                        </w:tcBorders>
                        <w:tcMar/>
                        <w:vAlign w:val="top"/>
                      </w:tcPr>
                      <w:p>
                        <w:r>
                          <w:t xml:space="preserve">Kilmore and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242 </w:t>
                        </w:r>
                      </w:p>
                    </w:tc>
                    <w:tc>
                      <w:tcPr>
                        <w:tcBorders>
                          <w:top w:val="none" w:color="000000" w:sz="0"/>
                          <w:left w:val="none" w:color="000000" w:sz="0"/>
                          <w:bottom w:val="none" w:color="000000" w:sz="0"/>
                          <w:right w:val="none" w:color="000000" w:sz="0"/>
                        </w:tcBorders>
                        <w:tcMar/>
                        <w:vAlign w:val="top"/>
                      </w:tcPr>
                      <w:p>
                        <w:r>
                          <w:t xml:space="preserve">Yea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243 </w:t>
                        </w:r>
                      </w:p>
                    </w:tc>
                    <w:tc>
                      <w:tcPr>
                        <w:tcBorders>
                          <w:top w:val="none" w:color="000000" w:sz="0"/>
                          <w:left w:val="none" w:color="000000" w:sz="0"/>
                          <w:bottom w:val="none" w:color="000000" w:sz="0"/>
                          <w:right w:val="none" w:color="000000" w:sz="0"/>
                        </w:tcBorders>
                        <w:tcMar/>
                        <w:vAlign w:val="top"/>
                      </w:tcPr>
                      <w:p>
                        <w:r>
                          <w:t xml:space="preserve">Northeast Health Wangaratta</w:t>
                        </w:r>
                      </w:p>
                    </w:tc>
                  </w:tr>
                  <w:tr>
                    <w:trPr/>
                    <w:tc>
                      <w:tcPr>
                        <w:tcW w:w="1000" w:type="pct"/>
                        <w:tcBorders>
                          <w:top w:val="none" w:color="000000" w:sz="0"/>
                          <w:left w:val="none" w:color="000000" w:sz="0"/>
                          <w:bottom w:val="none" w:color="000000" w:sz="0"/>
                          <w:right w:val="none" w:color="000000" w:sz="0"/>
                        </w:tcBorders>
                        <w:tcMar/>
                        <w:vAlign w:val="top"/>
                      </w:tcPr>
                      <w:p>
                        <w:r>
                          <w:t xml:space="preserve">244 </w:t>
                        </w:r>
                      </w:p>
                    </w:tc>
                    <w:tc>
                      <w:tcPr>
                        <w:tcBorders>
                          <w:top w:val="none" w:color="000000" w:sz="0"/>
                          <w:left w:val="none" w:color="000000" w:sz="0"/>
                          <w:bottom w:val="none" w:color="000000" w:sz="0"/>
                          <w:right w:val="none" w:color="000000" w:sz="0"/>
                        </w:tcBorders>
                        <w:tcMar/>
                        <w:vAlign w:val="top"/>
                      </w:tcPr>
                      <w:p>
                        <w:r>
                          <w:t xml:space="preserve">Yarrawonga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245 </w:t>
                        </w:r>
                      </w:p>
                    </w:tc>
                    <w:tc>
                      <w:tcPr>
                        <w:tcBorders>
                          <w:top w:val="none" w:color="000000" w:sz="0"/>
                          <w:left w:val="none" w:color="000000" w:sz="0"/>
                          <w:bottom w:val="none" w:color="000000" w:sz="0"/>
                          <w:right w:val="none" w:color="000000" w:sz="0"/>
                        </w:tcBorders>
                        <w:tcMar/>
                        <w:vAlign w:val="top"/>
                      </w:tcPr>
                      <w:p>
                        <w:r>
                          <w:t xml:space="preserve">Alpine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246 </w:t>
                        </w:r>
                      </w:p>
                    </w:tc>
                    <w:tc>
                      <w:tcPr>
                        <w:tcBorders>
                          <w:top w:val="none" w:color="000000" w:sz="0"/>
                          <w:left w:val="none" w:color="000000" w:sz="0"/>
                          <w:bottom w:val="none" w:color="000000" w:sz="0"/>
                          <w:right w:val="none" w:color="000000" w:sz="0"/>
                        </w:tcBorders>
                        <w:tcMar/>
                        <w:vAlign w:val="top"/>
                      </w:tcPr>
                      <w:p>
                        <w:r>
                          <w:t xml:space="preserve">Mansfield District Hospital</w:t>
                        </w:r>
                      </w:p>
                    </w:tc>
                  </w:tr>
                  <w:tr>
                    <w:trPr/>
                    <w:tc>
                      <w:tcPr>
                        <w:tcW w:w="1000" w:type="pct"/>
                        <w:tcBorders>
                          <w:top w:val="none" w:color="000000" w:sz="0"/>
                          <w:left w:val="none" w:color="000000" w:sz="0"/>
                          <w:bottom w:val="none" w:color="000000" w:sz="0"/>
                          <w:right w:val="none" w:color="000000" w:sz="0"/>
                        </w:tcBorders>
                        <w:tcMar/>
                        <w:vAlign w:val="top"/>
                      </w:tcPr>
                      <w:p>
                        <w:r>
                          <w:t xml:space="preserve">247 </w:t>
                        </w:r>
                      </w:p>
                    </w:tc>
                    <w:tc>
                      <w:tcPr>
                        <w:tcBorders>
                          <w:top w:val="none" w:color="000000" w:sz="0"/>
                          <w:left w:val="none" w:color="000000" w:sz="0"/>
                          <w:bottom w:val="none" w:color="000000" w:sz="0"/>
                          <w:right w:val="none" w:color="000000" w:sz="0"/>
                        </w:tcBorders>
                        <w:tcMar/>
                        <w:vAlign w:val="top"/>
                      </w:tcPr>
                      <w:p>
                        <w:r>
                          <w:t xml:space="preserve">Benalla and District Memorial Hospital </w:t>
                        </w:r>
                      </w:p>
                    </w:tc>
                  </w:tr>
                  <w:tr>
                    <w:trPr/>
                    <w:tc>
                      <w:tcPr>
                        <w:tcW w:w="1000" w:type="pct"/>
                        <w:tcBorders>
                          <w:top w:val="none" w:color="000000" w:sz="0"/>
                          <w:left w:val="none" w:color="000000" w:sz="0"/>
                          <w:bottom w:val="none" w:color="000000" w:sz="0"/>
                          <w:right w:val="none" w:color="000000" w:sz="0"/>
                        </w:tcBorders>
                        <w:tcMar/>
                        <w:vAlign w:val="top"/>
                      </w:tcPr>
                      <w:p>
                        <w:r>
                          <w:t xml:space="preserve">248 </w:t>
                        </w:r>
                      </w:p>
                    </w:tc>
                    <w:tc>
                      <w:tcPr>
                        <w:tcBorders>
                          <w:top w:val="none" w:color="000000" w:sz="0"/>
                          <w:left w:val="none" w:color="000000" w:sz="0"/>
                          <w:bottom w:val="none" w:color="000000" w:sz="0"/>
                          <w:right w:val="none" w:color="000000" w:sz="0"/>
                        </w:tcBorders>
                        <w:tcMar/>
                        <w:vAlign w:val="top"/>
                      </w:tcPr>
                      <w:p>
                        <w:r>
                          <w:t xml:space="preserve">Tallangatta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249 </w:t>
                        </w:r>
                      </w:p>
                    </w:tc>
                    <w:tc>
                      <w:tcPr>
                        <w:tcBorders>
                          <w:top w:val="none" w:color="000000" w:sz="0"/>
                          <w:left w:val="none" w:color="000000" w:sz="0"/>
                          <w:bottom w:val="none" w:color="000000" w:sz="0"/>
                          <w:right w:val="none" w:color="000000" w:sz="0"/>
                        </w:tcBorders>
                        <w:tcMar/>
                        <w:vAlign w:val="top"/>
                      </w:tcPr>
                      <w:p>
                        <w:r>
                          <w:t xml:space="preserve">Albury Wodonga Health</w:t>
                        </w:r>
                      </w:p>
                    </w:tc>
                  </w:tr>
                  <w:tr>
                    <w:trPr/>
                    <w:tc>
                      <w:tcPr>
                        <w:tcW w:w="1000" w:type="pct"/>
                        <w:tcBorders>
                          <w:top w:val="none" w:color="000000" w:sz="0"/>
                          <w:left w:val="none" w:color="000000" w:sz="0"/>
                          <w:bottom w:val="none" w:color="000000" w:sz="0"/>
                          <w:right w:val="none" w:color="000000" w:sz="0"/>
                        </w:tcBorders>
                        <w:tcMar/>
                        <w:vAlign w:val="top"/>
                      </w:tcPr>
                      <w:p>
                        <w:r>
                          <w:t xml:space="preserve">250 </w:t>
                        </w:r>
                      </w:p>
                    </w:tc>
                    <w:tc>
                      <w:tcPr>
                        <w:tcBorders>
                          <w:top w:val="none" w:color="000000" w:sz="0"/>
                          <w:left w:val="none" w:color="000000" w:sz="0"/>
                          <w:bottom w:val="none" w:color="000000" w:sz="0"/>
                          <w:right w:val="none" w:color="000000" w:sz="0"/>
                        </w:tcBorders>
                        <w:tcMar/>
                        <w:vAlign w:val="top"/>
                      </w:tcPr>
                      <w:p>
                        <w:r>
                          <w:t xml:space="preserve">Upper Murray Health and Community Services (Corryong)</w:t>
                        </w:r>
                      </w:p>
                    </w:tc>
                  </w:tr>
                  <w:tr>
                    <w:trPr/>
                    <w:tc>
                      <w:tcPr>
                        <w:tcW w:w="1000" w:type="pct"/>
                        <w:tcBorders>
                          <w:top w:val="none" w:color="000000" w:sz="0"/>
                          <w:left w:val="none" w:color="000000" w:sz="0"/>
                          <w:bottom w:val="none" w:color="000000" w:sz="0"/>
                          <w:right w:val="none" w:color="000000" w:sz="0"/>
                        </w:tcBorders>
                        <w:tcMar/>
                        <w:vAlign w:val="top"/>
                      </w:tcPr>
                      <w:p>
                        <w:r>
                          <w:t xml:space="preserve">251 </w:t>
                        </w:r>
                      </w:p>
                    </w:tc>
                    <w:tc>
                      <w:tcPr>
                        <w:tcBorders>
                          <w:top w:val="none" w:color="000000" w:sz="0"/>
                          <w:left w:val="none" w:color="000000" w:sz="0"/>
                          <w:bottom w:val="none" w:color="000000" w:sz="0"/>
                          <w:right w:val="none" w:color="000000" w:sz="0"/>
                        </w:tcBorders>
                        <w:tcMar/>
                        <w:vAlign w:val="top"/>
                      </w:tcPr>
                      <w:p>
                        <w:r>
                          <w:t xml:space="preserve">Beechworth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252 </w:t>
                        </w:r>
                      </w:p>
                    </w:tc>
                    <w:tc>
                      <w:tcPr>
                        <w:tcBorders>
                          <w:top w:val="none" w:color="000000" w:sz="0"/>
                          <w:left w:val="none" w:color="000000" w:sz="0"/>
                          <w:bottom w:val="none" w:color="000000" w:sz="0"/>
                          <w:right w:val="none" w:color="000000" w:sz="0"/>
                        </w:tcBorders>
                        <w:tcMar/>
                        <w:vAlign w:val="top"/>
                      </w:tcPr>
                      <w:p>
                        <w:r>
                          <w:t xml:space="preserve">West Gippsland Healthcare Group</w:t>
                        </w:r>
                      </w:p>
                    </w:tc>
                  </w:tr>
                  <w:tr>
                    <w:trPr/>
                    <w:tc>
                      <w:tcPr>
                        <w:tcW w:w="1000" w:type="pct"/>
                        <w:tcBorders>
                          <w:top w:val="none" w:color="000000" w:sz="0"/>
                          <w:left w:val="none" w:color="000000" w:sz="0"/>
                          <w:bottom w:val="none" w:color="000000" w:sz="0"/>
                          <w:right w:val="none" w:color="000000" w:sz="0"/>
                        </w:tcBorders>
                        <w:tcMar/>
                        <w:vAlign w:val="top"/>
                      </w:tcPr>
                      <w:p>
                        <w:r>
                          <w:t xml:space="preserve">253 </w:t>
                        </w:r>
                      </w:p>
                    </w:tc>
                    <w:tc>
                      <w:tcPr>
                        <w:tcBorders>
                          <w:top w:val="none" w:color="000000" w:sz="0"/>
                          <w:left w:val="none" w:color="000000" w:sz="0"/>
                          <w:bottom w:val="none" w:color="000000" w:sz="0"/>
                          <w:right w:val="none" w:color="000000" w:sz="0"/>
                        </w:tcBorders>
                        <w:tcMar/>
                        <w:vAlign w:val="top"/>
                      </w:tcPr>
                      <w:p>
                        <w:r>
                          <w:t xml:space="preserve">Bass Coast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254 </w:t>
                        </w:r>
                      </w:p>
                    </w:tc>
                    <w:tc>
                      <w:tcPr>
                        <w:tcBorders>
                          <w:top w:val="none" w:color="000000" w:sz="0"/>
                          <w:left w:val="none" w:color="000000" w:sz="0"/>
                          <w:bottom w:val="none" w:color="000000" w:sz="0"/>
                          <w:right w:val="none" w:color="000000" w:sz="0"/>
                        </w:tcBorders>
                        <w:tcMar/>
                        <w:vAlign w:val="top"/>
                      </w:tcPr>
                      <w:p>
                        <w:r>
                          <w:t xml:space="preserve">Gippsland Southern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255 </w:t>
                        </w:r>
                      </w:p>
                    </w:tc>
                    <w:tc>
                      <w:tcPr>
                        <w:tcBorders>
                          <w:top w:val="none" w:color="000000" w:sz="0"/>
                          <w:left w:val="none" w:color="000000" w:sz="0"/>
                          <w:bottom w:val="none" w:color="000000" w:sz="0"/>
                          <w:right w:val="none" w:color="000000" w:sz="0"/>
                        </w:tcBorders>
                        <w:tcMar/>
                        <w:vAlign w:val="top"/>
                      </w:tcPr>
                      <w:p>
                        <w:r>
                          <w:t xml:space="preserve">South Gippsland Hospital (Foster)</w:t>
                        </w:r>
                      </w:p>
                    </w:tc>
                  </w:tr>
                  <w:tr>
                    <w:trPr/>
                    <w:tc>
                      <w:tcPr>
                        <w:tcW w:w="1000" w:type="pct"/>
                        <w:tcBorders>
                          <w:top w:val="none" w:color="000000" w:sz="0"/>
                          <w:left w:val="none" w:color="000000" w:sz="0"/>
                          <w:bottom w:val="none" w:color="000000" w:sz="0"/>
                          <w:right w:val="none" w:color="000000" w:sz="0"/>
                        </w:tcBorders>
                        <w:tcMar/>
                        <w:vAlign w:val="top"/>
                      </w:tcPr>
                      <w:p>
                        <w:r>
                          <w:t xml:space="preserve">256 </w:t>
                        </w:r>
                      </w:p>
                    </w:tc>
                    <w:tc>
                      <w:tcPr>
                        <w:tcBorders>
                          <w:top w:val="none" w:color="000000" w:sz="0"/>
                          <w:left w:val="none" w:color="000000" w:sz="0"/>
                          <w:bottom w:val="none" w:color="000000" w:sz="0"/>
                          <w:right w:val="none" w:color="000000" w:sz="0"/>
                        </w:tcBorders>
                        <w:tcMar/>
                        <w:vAlign w:val="top"/>
                      </w:tcPr>
                      <w:p>
                        <w:r>
                          <w:t xml:space="preserve">Bairnsdale Regional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257 </w:t>
                        </w:r>
                      </w:p>
                    </w:tc>
                    <w:tc>
                      <w:tcPr>
                        <w:tcBorders>
                          <w:top w:val="none" w:color="000000" w:sz="0"/>
                          <w:left w:val="none" w:color="000000" w:sz="0"/>
                          <w:bottom w:val="none" w:color="000000" w:sz="0"/>
                          <w:right w:val="none" w:color="000000" w:sz="0"/>
                        </w:tcBorders>
                        <w:tcMar/>
                        <w:vAlign w:val="top"/>
                      </w:tcPr>
                      <w:p>
                        <w:r>
                          <w:t xml:space="preserve">Yarram and District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258 </w:t>
                        </w:r>
                      </w:p>
                    </w:tc>
                    <w:tc>
                      <w:tcPr>
                        <w:tcBorders>
                          <w:top w:val="none" w:color="000000" w:sz="0"/>
                          <w:left w:val="none" w:color="000000" w:sz="0"/>
                          <w:bottom w:val="none" w:color="000000" w:sz="0"/>
                          <w:right w:val="none" w:color="000000" w:sz="0"/>
                        </w:tcBorders>
                        <w:tcMar/>
                        <w:vAlign w:val="top"/>
                      </w:tcPr>
                      <w:p>
                        <w:r>
                          <w:t xml:space="preserve">Omeo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259 </w:t>
                        </w:r>
                      </w:p>
                    </w:tc>
                    <w:tc>
                      <w:tcPr>
                        <w:tcBorders>
                          <w:top w:val="none" w:color="000000" w:sz="0"/>
                          <w:left w:val="none" w:color="000000" w:sz="0"/>
                          <w:bottom w:val="none" w:color="000000" w:sz="0"/>
                          <w:right w:val="none" w:color="000000" w:sz="0"/>
                        </w:tcBorders>
                        <w:tcMar/>
                        <w:vAlign w:val="top"/>
                      </w:tcPr>
                      <w:p>
                        <w:r>
                          <w:t xml:space="preserve">Central Gippsland Health Service </w:t>
                        </w:r>
                      </w:p>
                    </w:tc>
                  </w:tr>
                  <w:tr>
                    <w:trPr/>
                    <w:tc>
                      <w:tcPr>
                        <w:tcW w:w="1000" w:type="pct"/>
                        <w:tcBorders>
                          <w:top w:val="none" w:color="000000" w:sz="0"/>
                          <w:left w:val="none" w:color="000000" w:sz="0"/>
                          <w:bottom w:val="none" w:color="000000" w:sz="0"/>
                          <w:right w:val="none" w:color="000000" w:sz="0"/>
                        </w:tcBorders>
                        <w:tcMar/>
                        <w:vAlign w:val="top"/>
                      </w:tcPr>
                      <w:p>
                        <w:r>
                          <w:t xml:space="preserve">260 </w:t>
                        </w:r>
                      </w:p>
                    </w:tc>
                    <w:tc>
                      <w:tcPr>
                        <w:tcBorders>
                          <w:top w:val="none" w:color="000000" w:sz="0"/>
                          <w:left w:val="none" w:color="000000" w:sz="0"/>
                          <w:bottom w:val="none" w:color="000000" w:sz="0"/>
                          <w:right w:val="none" w:color="000000" w:sz="0"/>
                        </w:tcBorders>
                        <w:tcMar/>
                        <w:vAlign w:val="top"/>
                      </w:tcPr>
                      <w:p>
                        <w:r>
                          <w:t xml:space="preserve">Latrobe Regional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261 </w:t>
                        </w:r>
                      </w:p>
                    </w:tc>
                    <w:tc>
                      <w:tcPr>
                        <w:tcBorders>
                          <w:top w:val="none" w:color="000000" w:sz="0"/>
                          <w:left w:val="none" w:color="000000" w:sz="0"/>
                          <w:bottom w:val="none" w:color="000000" w:sz="0"/>
                          <w:right w:val="none" w:color="000000" w:sz="0"/>
                        </w:tcBorders>
                        <w:tcMar/>
                        <w:vAlign w:val="top"/>
                      </w:tcPr>
                      <w:p>
                        <w:r>
                          <w:t xml:space="preserve">Orbost Regional Health </w:t>
                        </w:r>
                      </w:p>
                    </w:tc>
                  </w:tr>
                  <w:tr>
                    <w:trPr/>
                    <w:tc>
                      <w:tcPr>
                        <w:tcW w:w="1000" w:type="pct"/>
                        <w:tcBorders>
                          <w:top w:val="none" w:color="000000" w:sz="0"/>
                          <w:left w:val="none" w:color="000000" w:sz="0"/>
                          <w:bottom w:val="none" w:color="000000" w:sz="0"/>
                          <w:right w:val="none" w:color="000000" w:sz="0"/>
                        </w:tcBorders>
                        <w:tcMar/>
                        <w:vAlign w:val="top"/>
                      </w:tcPr>
                      <w:p>
                        <w:r>
                          <w:t xml:space="preserve">262 </w:t>
                        </w:r>
                      </w:p>
                    </w:tc>
                    <w:tc>
                      <w:tcPr>
                        <w:tcBorders>
                          <w:top w:val="none" w:color="000000" w:sz="0"/>
                          <w:left w:val="none" w:color="000000" w:sz="0"/>
                          <w:bottom w:val="none" w:color="000000" w:sz="0"/>
                          <w:right w:val="none" w:color="000000" w:sz="0"/>
                        </w:tcBorders>
                        <w:tcMar/>
                        <w:vAlign w:val="top"/>
                      </w:tcPr>
                      <w:p>
                        <w:r>
                          <w:t xml:space="preserve">St Vincent's Hospital (Melbourne) Limited</w:t>
                        </w:r>
                      </w:p>
                    </w:tc>
                  </w:tr>
                  <w:tr>
                    <w:trPr/>
                    <w:tc>
                      <w:tcPr>
                        <w:tcW w:w="1000" w:type="pct"/>
                        <w:tcBorders>
                          <w:top w:val="none" w:color="000000" w:sz="0"/>
                          <w:left w:val="none" w:color="000000" w:sz="0"/>
                          <w:bottom w:val="none" w:color="000000" w:sz="0"/>
                          <w:right w:val="none" w:color="000000" w:sz="0"/>
                        </w:tcBorders>
                        <w:tcMar/>
                        <w:vAlign w:val="top"/>
                      </w:tcPr>
                      <w:p>
                        <w:r>
                          <w:t xml:space="preserve">263 </w:t>
                        </w:r>
                      </w:p>
                    </w:tc>
                    <w:tc>
                      <w:tcPr>
                        <w:tcBorders>
                          <w:top w:val="none" w:color="000000" w:sz="0"/>
                          <w:left w:val="none" w:color="000000" w:sz="0"/>
                          <w:bottom w:val="none" w:color="000000" w:sz="0"/>
                          <w:right w:val="none" w:color="000000" w:sz="0"/>
                        </w:tcBorders>
                        <w:tcMar/>
                        <w:vAlign w:val="top"/>
                      </w:tcPr>
                      <w:p>
                        <w:r>
                          <w:t xml:space="preserve">Royal Victorian Eye and Ear Hospital </w:t>
                        </w:r>
                      </w:p>
                    </w:tc>
                  </w:tr>
                  <w:tr>
                    <w:trPr/>
                    <w:tc>
                      <w:tcPr>
                        <w:tcW w:w="1000" w:type="pct"/>
                        <w:tcBorders>
                          <w:top w:val="none" w:color="000000" w:sz="0"/>
                          <w:left w:val="none" w:color="000000" w:sz="0"/>
                          <w:bottom w:val="none" w:color="000000" w:sz="0"/>
                          <w:right w:val="none" w:color="000000" w:sz="0"/>
                        </w:tcBorders>
                        <w:tcMar/>
                        <w:vAlign w:val="top"/>
                      </w:tcPr>
                      <w:p>
                        <w:r>
                          <w:t xml:space="preserve">264 </w:t>
                        </w:r>
                      </w:p>
                    </w:tc>
                    <w:tc>
                      <w:tcPr>
                        <w:tcBorders>
                          <w:top w:val="none" w:color="000000" w:sz="0"/>
                          <w:left w:val="none" w:color="000000" w:sz="0"/>
                          <w:bottom w:val="none" w:color="000000" w:sz="0"/>
                          <w:right w:val="none" w:color="000000" w:sz="0"/>
                        </w:tcBorders>
                        <w:tcMar/>
                        <w:vAlign w:val="top"/>
                      </w:tcPr>
                      <w:p>
                        <w:r>
                          <w:t xml:space="preserve">Peter MacCallum Cancer Institute (Vic)</w:t>
                        </w:r>
                      </w:p>
                    </w:tc>
                  </w:tr>
                  <w:tr>
                    <w:trPr/>
                    <w:tc>
                      <w:tcPr>
                        <w:tcW w:w="1000" w:type="pct"/>
                        <w:tcBorders>
                          <w:top w:val="none" w:color="000000" w:sz="0"/>
                          <w:left w:val="none" w:color="000000" w:sz="0"/>
                          <w:bottom w:val="none" w:color="000000" w:sz="0"/>
                          <w:right w:val="none" w:color="000000" w:sz="0"/>
                        </w:tcBorders>
                        <w:tcMar/>
                        <w:vAlign w:val="top"/>
                      </w:tcPr>
                      <w:p>
                        <w:r>
                          <w:t xml:space="preserve">266 </w:t>
                        </w:r>
                      </w:p>
                    </w:tc>
                    <w:tc>
                      <w:tcPr>
                        <w:tcBorders>
                          <w:top w:val="none" w:color="000000" w:sz="0"/>
                          <w:left w:val="none" w:color="000000" w:sz="0"/>
                          <w:bottom w:val="none" w:color="000000" w:sz="0"/>
                          <w:right w:val="none" w:color="000000" w:sz="0"/>
                        </w:tcBorders>
                        <w:tcMar/>
                        <w:vAlign w:val="top"/>
                      </w:tcPr>
                      <w:p>
                        <w:r>
                          <w:t xml:space="preserve">Austin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267 </w:t>
                        </w:r>
                      </w:p>
                    </w:tc>
                    <w:tc>
                      <w:tcPr>
                        <w:tcBorders>
                          <w:top w:val="none" w:color="000000" w:sz="0"/>
                          <w:left w:val="none" w:color="000000" w:sz="0"/>
                          <w:bottom w:val="none" w:color="000000" w:sz="0"/>
                          <w:right w:val="none" w:color="000000" w:sz="0"/>
                        </w:tcBorders>
                        <w:tcMar/>
                        <w:vAlign w:val="top"/>
                      </w:tcPr>
                      <w:p>
                        <w:r>
                          <w:t xml:space="preserve">Mercy Public Hospital Inc. (Vic)</w:t>
                        </w:r>
                      </w:p>
                    </w:tc>
                  </w:tr>
                  <w:tr>
                    <w:trPr/>
                    <w:tc>
                      <w:tcPr>
                        <w:tcW w:w="1000" w:type="pct"/>
                        <w:tcBorders>
                          <w:top w:val="none" w:color="000000" w:sz="0"/>
                          <w:left w:val="none" w:color="000000" w:sz="0"/>
                          <w:bottom w:val="none" w:color="000000" w:sz="0"/>
                          <w:right w:val="none" w:color="000000" w:sz="0"/>
                        </w:tcBorders>
                        <w:tcMar/>
                        <w:vAlign w:val="top"/>
                      </w:tcPr>
                      <w:p>
                        <w:r>
                          <w:t xml:space="preserve">268 </w:t>
                        </w:r>
                      </w:p>
                    </w:tc>
                    <w:tc>
                      <w:tcPr>
                        <w:tcBorders>
                          <w:top w:val="none" w:color="000000" w:sz="0"/>
                          <w:left w:val="none" w:color="000000" w:sz="0"/>
                          <w:bottom w:val="none" w:color="000000" w:sz="0"/>
                          <w:right w:val="none" w:color="000000" w:sz="0"/>
                        </w:tcBorders>
                        <w:tcMar/>
                        <w:vAlign w:val="top"/>
                      </w:tcPr>
                      <w:p>
                        <w:r>
                          <w:t xml:space="preserve">Alfred Health (Vic)</w:t>
                        </w:r>
                      </w:p>
                    </w:tc>
                  </w:tr>
                  <w:tr>
                    <w:trPr/>
                    <w:tc>
                      <w:tcPr>
                        <w:tcW w:w="1000" w:type="pct"/>
                        <w:tcBorders>
                          <w:top w:val="none" w:color="000000" w:sz="0"/>
                          <w:left w:val="none" w:color="000000" w:sz="0"/>
                          <w:bottom w:val="none" w:color="000000" w:sz="0"/>
                          <w:right w:val="none" w:color="000000" w:sz="0"/>
                        </w:tcBorders>
                        <w:tcMar/>
                        <w:vAlign w:val="top"/>
                      </w:tcPr>
                      <w:p>
                        <w:r>
                          <w:t xml:space="preserve">269 </w:t>
                        </w:r>
                      </w:p>
                    </w:tc>
                    <w:tc>
                      <w:tcPr>
                        <w:tcBorders>
                          <w:top w:val="none" w:color="000000" w:sz="0"/>
                          <w:left w:val="none" w:color="000000" w:sz="0"/>
                          <w:bottom w:val="none" w:color="000000" w:sz="0"/>
                          <w:right w:val="none" w:color="000000" w:sz="0"/>
                        </w:tcBorders>
                        <w:tcMar/>
                        <w:vAlign w:val="top"/>
                      </w:tcPr>
                      <w:p>
                        <w:r>
                          <w:t xml:space="preserve">Monash Health</w:t>
                        </w:r>
                      </w:p>
                    </w:tc>
                  </w:tr>
                  <w:tr>
                    <w:trPr/>
                    <w:tc>
                      <w:tcPr>
                        <w:tcW w:w="1000" w:type="pct"/>
                        <w:tcBorders>
                          <w:top w:val="none" w:color="000000" w:sz="0"/>
                          <w:left w:val="none" w:color="000000" w:sz="0"/>
                          <w:bottom w:val="none" w:color="000000" w:sz="0"/>
                          <w:right w:val="none" w:color="000000" w:sz="0"/>
                        </w:tcBorders>
                        <w:tcMar/>
                        <w:vAlign w:val="top"/>
                      </w:tcPr>
                      <w:p>
                        <w:r>
                          <w:t xml:space="preserve">270 </w:t>
                        </w:r>
                      </w:p>
                    </w:tc>
                    <w:tc>
                      <w:tcPr>
                        <w:tcBorders>
                          <w:top w:val="none" w:color="000000" w:sz="0"/>
                          <w:left w:val="none" w:color="000000" w:sz="0"/>
                          <w:bottom w:val="none" w:color="000000" w:sz="0"/>
                          <w:right w:val="none" w:color="000000" w:sz="0"/>
                        </w:tcBorders>
                        <w:tcMar/>
                        <w:vAlign w:val="top"/>
                      </w:tcPr>
                      <w:p>
                        <w:r>
                          <w:t xml:space="preserve">Peninsula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271 </w:t>
                        </w:r>
                      </w:p>
                    </w:tc>
                    <w:tc>
                      <w:tcPr>
                        <w:tcBorders>
                          <w:top w:val="none" w:color="000000" w:sz="0"/>
                          <w:left w:val="none" w:color="000000" w:sz="0"/>
                          <w:bottom w:val="none" w:color="000000" w:sz="0"/>
                          <w:right w:val="none" w:color="000000" w:sz="0"/>
                        </w:tcBorders>
                        <w:tcMar/>
                        <w:vAlign w:val="top"/>
                      </w:tcPr>
                      <w:p>
                        <w:r>
                          <w:t xml:space="preserve">Kooweerup Regional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274 </w:t>
                        </w:r>
                      </w:p>
                    </w:tc>
                    <w:tc>
                      <w:tcPr>
                        <w:tcBorders>
                          <w:top w:val="none" w:color="000000" w:sz="0"/>
                          <w:left w:val="none" w:color="000000" w:sz="0"/>
                          <w:bottom w:val="none" w:color="000000" w:sz="0"/>
                          <w:right w:val="none" w:color="000000" w:sz="0"/>
                        </w:tcBorders>
                        <w:tcMar/>
                        <w:vAlign w:val="top"/>
                      </w:tcPr>
                      <w:p>
                        <w:r>
                          <w:t xml:space="preserve">Rural Northwest Health (Vic) </w:t>
                        </w:r>
                      </w:p>
                    </w:tc>
                  </w:tr>
                  <w:tr>
                    <w:trPr/>
                    <w:tc>
                      <w:tcPr>
                        <w:tcW w:w="1000" w:type="pct"/>
                        <w:tcBorders>
                          <w:top w:val="none" w:color="000000" w:sz="0"/>
                          <w:left w:val="none" w:color="000000" w:sz="0"/>
                          <w:bottom w:val="none" w:color="000000" w:sz="0"/>
                          <w:right w:val="none" w:color="000000" w:sz="0"/>
                        </w:tcBorders>
                        <w:tcMar/>
                        <w:vAlign w:val="top"/>
                      </w:tcPr>
                      <w:p>
                        <w:r>
                          <w:t xml:space="preserve">275 </w:t>
                        </w:r>
                      </w:p>
                    </w:tc>
                    <w:tc>
                      <w:tcPr>
                        <w:tcBorders>
                          <w:top w:val="none" w:color="000000" w:sz="0"/>
                          <w:left w:val="none" w:color="000000" w:sz="0"/>
                          <w:bottom w:val="none" w:color="000000" w:sz="0"/>
                          <w:right w:val="none" w:color="000000" w:sz="0"/>
                        </w:tcBorders>
                        <w:tcMar/>
                        <w:vAlign w:val="top"/>
                      </w:tcPr>
                      <w:p>
                        <w:r>
                          <w:t xml:space="preserve">Wimmera Health Care Group</w:t>
                        </w:r>
                      </w:p>
                    </w:tc>
                  </w:tr>
                  <w:tr>
                    <w:trPr/>
                    <w:tc>
                      <w:tcPr>
                        <w:tcW w:w="1000" w:type="pct"/>
                        <w:tcBorders>
                          <w:top w:val="none" w:color="000000" w:sz="0"/>
                          <w:left w:val="none" w:color="000000" w:sz="0"/>
                          <w:bottom w:val="none" w:color="000000" w:sz="0"/>
                          <w:right w:val="none" w:color="000000" w:sz="0"/>
                        </w:tcBorders>
                        <w:tcMar/>
                        <w:vAlign w:val="top"/>
                      </w:tcPr>
                      <w:p>
                        <w:r>
                          <w:t xml:space="preserve">276 </w:t>
                        </w:r>
                      </w:p>
                    </w:tc>
                    <w:tc>
                      <w:tcPr>
                        <w:tcBorders>
                          <w:top w:val="none" w:color="000000" w:sz="0"/>
                          <w:left w:val="none" w:color="000000" w:sz="0"/>
                          <w:bottom w:val="none" w:color="000000" w:sz="0"/>
                          <w:right w:val="none" w:color="000000" w:sz="0"/>
                        </w:tcBorders>
                        <w:tcMar/>
                        <w:vAlign w:val="top"/>
                      </w:tcPr>
                      <w:p>
                        <w:r>
                          <w:t xml:space="preserve">Dunmunkle Health Services</w:t>
                        </w:r>
                      </w:p>
                    </w:tc>
                  </w:tr>
                  <w:tr>
                    <w:trPr/>
                    <w:tc>
                      <w:tcPr>
                        <w:tcW w:w="1000" w:type="pct"/>
                        <w:tcBorders>
                          <w:top w:val="none" w:color="000000" w:sz="0"/>
                          <w:left w:val="none" w:color="000000" w:sz="0"/>
                          <w:bottom w:val="none" w:color="000000" w:sz="0"/>
                          <w:right w:val="none" w:color="000000" w:sz="0"/>
                        </w:tcBorders>
                        <w:tcMar/>
                        <w:vAlign w:val="top"/>
                      </w:tcPr>
                      <w:p>
                        <w:r>
                          <w:t xml:space="preserve">277 </w:t>
                        </w:r>
                      </w:p>
                    </w:tc>
                    <w:tc>
                      <w:tcPr>
                        <w:tcBorders>
                          <w:top w:val="none" w:color="000000" w:sz="0"/>
                          <w:left w:val="none" w:color="000000" w:sz="0"/>
                          <w:bottom w:val="none" w:color="000000" w:sz="0"/>
                          <w:right w:val="none" w:color="000000" w:sz="0"/>
                        </w:tcBorders>
                        <w:tcMar/>
                        <w:vAlign w:val="top"/>
                      </w:tcPr>
                      <w:p>
                        <w:r>
                          <w:t xml:space="preserve">West Wimmera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278 </w:t>
                        </w:r>
                      </w:p>
                    </w:tc>
                    <w:tc>
                      <w:tcPr>
                        <w:tcBorders>
                          <w:top w:val="none" w:color="000000" w:sz="0"/>
                          <w:left w:val="none" w:color="000000" w:sz="0"/>
                          <w:bottom w:val="none" w:color="000000" w:sz="0"/>
                          <w:right w:val="none" w:color="000000" w:sz="0"/>
                        </w:tcBorders>
                        <w:tcMar/>
                        <w:vAlign w:val="top"/>
                      </w:tcPr>
                      <w:p>
                        <w:r>
                          <w:t xml:space="preserve">Edenhope and District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279 </w:t>
                        </w:r>
                      </w:p>
                    </w:tc>
                    <w:tc>
                      <w:tcPr>
                        <w:tcBorders>
                          <w:top w:val="none" w:color="000000" w:sz="0"/>
                          <w:left w:val="none" w:color="000000" w:sz="0"/>
                          <w:bottom w:val="none" w:color="000000" w:sz="0"/>
                          <w:right w:val="none" w:color="000000" w:sz="0"/>
                        </w:tcBorders>
                        <w:tcMar/>
                        <w:vAlign w:val="top"/>
                      </w:tcPr>
                      <w:p>
                        <w:r>
                          <w:t xml:space="preserve">Mildura Base Hospital</w:t>
                        </w:r>
                      </w:p>
                    </w:tc>
                  </w:tr>
                  <w:tr>
                    <w:trPr/>
                    <w:tc>
                      <w:tcPr>
                        <w:tcW w:w="1000" w:type="pct"/>
                        <w:tcBorders>
                          <w:top w:val="none" w:color="000000" w:sz="0"/>
                          <w:left w:val="none" w:color="000000" w:sz="0"/>
                          <w:bottom w:val="none" w:color="000000" w:sz="0"/>
                          <w:right w:val="none" w:color="000000" w:sz="0"/>
                        </w:tcBorders>
                        <w:tcMar/>
                        <w:vAlign w:val="top"/>
                      </w:tcPr>
                      <w:p>
                        <w:r>
                          <w:t xml:space="preserve">280 </w:t>
                        </w:r>
                      </w:p>
                    </w:tc>
                    <w:tc>
                      <w:tcPr>
                        <w:tcBorders>
                          <w:top w:val="none" w:color="000000" w:sz="0"/>
                          <w:left w:val="none" w:color="000000" w:sz="0"/>
                          <w:bottom w:val="none" w:color="000000" w:sz="0"/>
                          <w:right w:val="none" w:color="000000" w:sz="0"/>
                        </w:tcBorders>
                        <w:tcMar/>
                        <w:vAlign w:val="top"/>
                      </w:tcPr>
                      <w:p>
                        <w:r>
                          <w:t xml:space="preserve">Mallee Track Health and Community Service</w:t>
                        </w:r>
                      </w:p>
                    </w:tc>
                  </w:tr>
                  <w:tr>
                    <w:trPr/>
                    <w:tc>
                      <w:tcPr>
                        <w:tcW w:w="1000" w:type="pct"/>
                        <w:tcBorders>
                          <w:top w:val="none" w:color="000000" w:sz="0"/>
                          <w:left w:val="none" w:color="000000" w:sz="0"/>
                          <w:bottom w:val="none" w:color="000000" w:sz="0"/>
                          <w:right w:val="none" w:color="000000" w:sz="0"/>
                        </w:tcBorders>
                        <w:tcMar/>
                        <w:vAlign w:val="top"/>
                      </w:tcPr>
                      <w:p>
                        <w:r>
                          <w:t xml:space="preserve">281 </w:t>
                        </w:r>
                      </w:p>
                    </w:tc>
                    <w:tc>
                      <w:tcPr>
                        <w:tcBorders>
                          <w:top w:val="none" w:color="000000" w:sz="0"/>
                          <w:left w:val="none" w:color="000000" w:sz="0"/>
                          <w:bottom w:val="none" w:color="000000" w:sz="0"/>
                          <w:right w:val="none" w:color="000000" w:sz="0"/>
                        </w:tcBorders>
                        <w:tcMar/>
                        <w:vAlign w:val="top"/>
                      </w:tcPr>
                      <w:p>
                        <w:r>
                          <w:t xml:space="preserve">Robinvale District Health Services </w:t>
                        </w:r>
                      </w:p>
                    </w:tc>
                  </w:tr>
                  <w:tr>
                    <w:trPr/>
                    <w:tc>
                      <w:tcPr>
                        <w:tcW w:w="1000" w:type="pct"/>
                        <w:tcBorders>
                          <w:top w:val="none" w:color="000000" w:sz="0"/>
                          <w:left w:val="none" w:color="000000" w:sz="0"/>
                          <w:bottom w:val="none" w:color="000000" w:sz="0"/>
                          <w:right w:val="none" w:color="000000" w:sz="0"/>
                        </w:tcBorders>
                        <w:tcMar/>
                        <w:vAlign w:val="top"/>
                      </w:tcPr>
                      <w:p>
                        <w:r>
                          <w:t xml:space="preserve">282 </w:t>
                        </w:r>
                      </w:p>
                    </w:tc>
                    <w:tc>
                      <w:tcPr>
                        <w:tcBorders>
                          <w:top w:val="none" w:color="000000" w:sz="0"/>
                          <w:left w:val="none" w:color="000000" w:sz="0"/>
                          <w:bottom w:val="none" w:color="000000" w:sz="0"/>
                          <w:right w:val="none" w:color="000000" w:sz="0"/>
                        </w:tcBorders>
                        <w:tcMar/>
                        <w:vAlign w:val="top"/>
                      </w:tcPr>
                      <w:p>
                        <w:r>
                          <w:t xml:space="preserve">Western District Health Service (Vic)</w:t>
                        </w:r>
                      </w:p>
                    </w:tc>
                  </w:tr>
                  <w:tr>
                    <w:trPr/>
                    <w:tc>
                      <w:tcPr>
                        <w:tcW w:w="1000" w:type="pct"/>
                        <w:tcBorders>
                          <w:top w:val="none" w:color="000000" w:sz="0"/>
                          <w:left w:val="none" w:color="000000" w:sz="0"/>
                          <w:bottom w:val="none" w:color="000000" w:sz="0"/>
                          <w:right w:val="none" w:color="000000" w:sz="0"/>
                        </w:tcBorders>
                        <w:tcMar/>
                        <w:vAlign w:val="top"/>
                      </w:tcPr>
                      <w:p>
                        <w:r>
                          <w:t xml:space="preserve">283 </w:t>
                        </w:r>
                      </w:p>
                    </w:tc>
                    <w:tc>
                      <w:tcPr>
                        <w:tcBorders>
                          <w:top w:val="none" w:color="000000" w:sz="0"/>
                          <w:left w:val="none" w:color="000000" w:sz="0"/>
                          <w:bottom w:val="none" w:color="000000" w:sz="0"/>
                          <w:right w:val="none" w:color="000000" w:sz="0"/>
                        </w:tcBorders>
                        <w:tcMar/>
                        <w:vAlign w:val="top"/>
                      </w:tcPr>
                      <w:p>
                        <w:r>
                          <w:t xml:space="preserve">Casterton Memorial Hospital</w:t>
                        </w:r>
                      </w:p>
                    </w:tc>
                  </w:tr>
                  <w:tr>
                    <w:trPr/>
                    <w:tc>
                      <w:tcPr>
                        <w:tcW w:w="1000" w:type="pct"/>
                        <w:tcBorders>
                          <w:top w:val="none" w:color="000000" w:sz="0"/>
                          <w:left w:val="none" w:color="000000" w:sz="0"/>
                          <w:bottom w:val="none" w:color="000000" w:sz="0"/>
                          <w:right w:val="none" w:color="000000" w:sz="0"/>
                        </w:tcBorders>
                        <w:tcMar/>
                        <w:vAlign w:val="top"/>
                      </w:tcPr>
                      <w:p>
                        <w:r>
                          <w:t xml:space="preserve">284 </w:t>
                        </w:r>
                      </w:p>
                    </w:tc>
                    <w:tc>
                      <w:tcPr>
                        <w:tcBorders>
                          <w:top w:val="none" w:color="000000" w:sz="0"/>
                          <w:left w:val="none" w:color="000000" w:sz="0"/>
                          <w:bottom w:val="none" w:color="000000" w:sz="0"/>
                          <w:right w:val="none" w:color="000000" w:sz="0"/>
                        </w:tcBorders>
                        <w:tcMar/>
                        <w:vAlign w:val="top"/>
                      </w:tcPr>
                      <w:p>
                        <w:r>
                          <w:t xml:space="preserve">South West Healthcare (Vic)</w:t>
                        </w:r>
                      </w:p>
                    </w:tc>
                  </w:tr>
                  <w:tr>
                    <w:trPr/>
                    <w:tc>
                      <w:tcPr>
                        <w:tcW w:w="1000" w:type="pct"/>
                        <w:tcBorders>
                          <w:top w:val="none" w:color="000000" w:sz="0"/>
                          <w:left w:val="none" w:color="000000" w:sz="0"/>
                          <w:bottom w:val="none" w:color="000000" w:sz="0"/>
                          <w:right w:val="none" w:color="000000" w:sz="0"/>
                        </w:tcBorders>
                        <w:tcMar/>
                        <w:vAlign w:val="top"/>
                      </w:tcPr>
                      <w:p>
                        <w:r>
                          <w:t xml:space="preserve">285 </w:t>
                        </w:r>
                      </w:p>
                    </w:tc>
                    <w:tc>
                      <w:tcPr>
                        <w:tcBorders>
                          <w:top w:val="none" w:color="000000" w:sz="0"/>
                          <w:left w:val="none" w:color="000000" w:sz="0"/>
                          <w:bottom w:val="none" w:color="000000" w:sz="0"/>
                          <w:right w:val="none" w:color="000000" w:sz="0"/>
                        </w:tcBorders>
                        <w:tcMar/>
                        <w:vAlign w:val="top"/>
                      </w:tcPr>
                      <w:p>
                        <w:r>
                          <w:t xml:space="preserve">Heywood Rural Health </w:t>
                        </w:r>
                      </w:p>
                    </w:tc>
                  </w:tr>
                  <w:tr>
                    <w:trPr/>
                    <w:tc>
                      <w:tcPr>
                        <w:tcW w:w="1000" w:type="pct"/>
                        <w:tcBorders>
                          <w:top w:val="none" w:color="000000" w:sz="0"/>
                          <w:left w:val="none" w:color="000000" w:sz="0"/>
                          <w:bottom w:val="none" w:color="000000" w:sz="0"/>
                          <w:right w:val="none" w:color="000000" w:sz="0"/>
                        </w:tcBorders>
                        <w:tcMar/>
                        <w:vAlign w:val="top"/>
                      </w:tcPr>
                      <w:p>
                        <w:r>
                          <w:t xml:space="preserve">286 </w:t>
                        </w:r>
                      </w:p>
                    </w:tc>
                    <w:tc>
                      <w:tcPr>
                        <w:tcBorders>
                          <w:top w:val="none" w:color="000000" w:sz="0"/>
                          <w:left w:val="none" w:color="000000" w:sz="0"/>
                          <w:bottom w:val="none" w:color="000000" w:sz="0"/>
                          <w:right w:val="none" w:color="000000" w:sz="0"/>
                        </w:tcBorders>
                        <w:tcMar/>
                        <w:vAlign w:val="top"/>
                      </w:tcPr>
                      <w:p>
                        <w:r>
                          <w:t xml:space="preserve">Timboon and District Healthcare Service</w:t>
                        </w:r>
                      </w:p>
                    </w:tc>
                  </w:tr>
                  <w:tr>
                    <w:trPr/>
                    <w:tc>
                      <w:tcPr>
                        <w:tcW w:w="1000" w:type="pct"/>
                        <w:tcBorders>
                          <w:top w:val="none" w:color="000000" w:sz="0"/>
                          <w:left w:val="none" w:color="000000" w:sz="0"/>
                          <w:bottom w:val="none" w:color="000000" w:sz="0"/>
                          <w:right w:val="none" w:color="000000" w:sz="0"/>
                        </w:tcBorders>
                        <w:tcMar/>
                        <w:vAlign w:val="top"/>
                      </w:tcPr>
                      <w:p>
                        <w:r>
                          <w:t xml:space="preserve">287 </w:t>
                        </w:r>
                      </w:p>
                    </w:tc>
                    <w:tc>
                      <w:tcPr>
                        <w:tcBorders>
                          <w:top w:val="none" w:color="000000" w:sz="0"/>
                          <w:left w:val="none" w:color="000000" w:sz="0"/>
                          <w:bottom w:val="none" w:color="000000" w:sz="0"/>
                          <w:right w:val="none" w:color="000000" w:sz="0"/>
                        </w:tcBorders>
                        <w:tcMar/>
                        <w:vAlign w:val="top"/>
                      </w:tcPr>
                      <w:p>
                        <w:r>
                          <w:t xml:space="preserve">Moyne Health Services (Port Fairy) </w:t>
                        </w:r>
                      </w:p>
                    </w:tc>
                  </w:tr>
                  <w:tr>
                    <w:trPr/>
                    <w:tc>
                      <w:tcPr>
                        <w:tcW w:w="1000" w:type="pct"/>
                        <w:tcBorders>
                          <w:top w:val="none" w:color="000000" w:sz="0"/>
                          <w:left w:val="none" w:color="000000" w:sz="0"/>
                          <w:bottom w:val="none" w:color="000000" w:sz="0"/>
                          <w:right w:val="none" w:color="000000" w:sz="0"/>
                        </w:tcBorders>
                        <w:tcMar/>
                        <w:vAlign w:val="top"/>
                      </w:tcPr>
                      <w:p>
                        <w:r>
                          <w:t xml:space="preserve">288 </w:t>
                        </w:r>
                      </w:p>
                    </w:tc>
                    <w:tc>
                      <w:tcPr>
                        <w:tcBorders>
                          <w:top w:val="none" w:color="000000" w:sz="0"/>
                          <w:left w:val="none" w:color="000000" w:sz="0"/>
                          <w:bottom w:val="none" w:color="000000" w:sz="0"/>
                          <w:right w:val="none" w:color="000000" w:sz="0"/>
                        </w:tcBorders>
                        <w:tcMar/>
                        <w:vAlign w:val="top"/>
                      </w:tcPr>
                      <w:p>
                        <w:r>
                          <w:t xml:space="preserve">Portland District Health </w:t>
                        </w:r>
                      </w:p>
                    </w:tc>
                  </w:tr>
                  <w:tr>
                    <w:trPr/>
                    <w:tc>
                      <w:tcPr>
                        <w:tcW w:w="1000" w:type="pct"/>
                        <w:tcBorders>
                          <w:top w:val="none" w:color="000000" w:sz="0"/>
                          <w:left w:val="none" w:color="000000" w:sz="0"/>
                          <w:bottom w:val="none" w:color="000000" w:sz="0"/>
                          <w:right w:val="none" w:color="000000" w:sz="0"/>
                        </w:tcBorders>
                        <w:tcMar/>
                        <w:vAlign w:val="top"/>
                      </w:tcPr>
                      <w:p>
                        <w:r>
                          <w:t xml:space="preserve">289 </w:t>
                        </w:r>
                      </w:p>
                    </w:tc>
                    <w:tc>
                      <w:tcPr>
                        <w:tcBorders>
                          <w:top w:val="none" w:color="000000" w:sz="0"/>
                          <w:left w:val="none" w:color="000000" w:sz="0"/>
                          <w:bottom w:val="none" w:color="000000" w:sz="0"/>
                          <w:right w:val="none" w:color="000000" w:sz="0"/>
                        </w:tcBorders>
                        <w:tcMar/>
                        <w:vAlign w:val="top"/>
                      </w:tcPr>
                      <w:p>
                        <w:r>
                          <w:t xml:space="preserve">Terang and Mortlake Health Service (Terang)</w:t>
                        </w:r>
                      </w:p>
                    </w:tc>
                  </w:tr>
                  <w:tr>
                    <w:trPr/>
                    <w:tc>
                      <w:tcPr>
                        <w:tcW w:w="1000" w:type="pct"/>
                        <w:tcBorders>
                          <w:top w:val="none" w:color="000000" w:sz="0"/>
                          <w:left w:val="none" w:color="000000" w:sz="0"/>
                          <w:bottom w:val="none" w:color="000000" w:sz="0"/>
                          <w:right w:val="none" w:color="000000" w:sz="0"/>
                        </w:tcBorders>
                        <w:tcMar/>
                        <w:vAlign w:val="top"/>
                      </w:tcPr>
                      <w:p>
                        <w:r>
                          <w:t xml:space="preserve">290 </w:t>
                        </w:r>
                      </w:p>
                    </w:tc>
                    <w:tc>
                      <w:tcPr>
                        <w:tcBorders>
                          <w:top w:val="none" w:color="000000" w:sz="0"/>
                          <w:left w:val="none" w:color="000000" w:sz="0"/>
                          <w:bottom w:val="none" w:color="000000" w:sz="0"/>
                          <w:right w:val="none" w:color="000000" w:sz="0"/>
                        </w:tcBorders>
                        <w:tcMar/>
                        <w:vAlign w:val="top"/>
                      </w:tcPr>
                      <w:p>
                        <w:r>
                          <w:t xml:space="preserve">Calvary Health Care Bethlehem Limited</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Cairns and Hinterland</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Townsville </w:t>
                        </w:r>
                      </w:p>
                    </w:tc>
                  </w:tr>
                  <w:tr>
                    <w:trPr/>
                    <w:tc>
                      <w:tcPr>
                        <w:tcW w:w="1000" w:type="pct"/>
                        <w:tcBorders>
                          <w:top w:val="none" w:color="000000" w:sz="0"/>
                          <w:left w:val="none" w:color="000000" w:sz="0"/>
                          <w:bottom w:val="none" w:color="000000" w:sz="0"/>
                          <w:right w:val="none" w:color="000000" w:sz="0"/>
                        </w:tcBorders>
                        <w:tcMar/>
                        <w:vAlign w:val="top"/>
                      </w:tcPr>
                      <w:p>
                        <w:r>
                          <w:t xml:space="preserve">314 </w:t>
                        </w:r>
                      </w:p>
                    </w:tc>
                    <w:tc>
                      <w:tcPr>
                        <w:tcBorders>
                          <w:top w:val="none" w:color="000000" w:sz="0"/>
                          <w:left w:val="none" w:color="000000" w:sz="0"/>
                          <w:bottom w:val="none" w:color="000000" w:sz="0"/>
                          <w:right w:val="none" w:color="000000" w:sz="0"/>
                        </w:tcBorders>
                        <w:tcMar/>
                        <w:vAlign w:val="top"/>
                      </w:tcPr>
                      <w:p>
                        <w:r>
                          <w:t xml:space="preserve">Mackay </w:t>
                        </w:r>
                      </w:p>
                    </w:tc>
                  </w:tr>
                  <w:tr>
                    <w:trPr/>
                    <w:tc>
                      <w:tcPr>
                        <w:tcW w:w="1000" w:type="pct"/>
                        <w:tcBorders>
                          <w:top w:val="none" w:color="000000" w:sz="0"/>
                          <w:left w:val="none" w:color="000000" w:sz="0"/>
                          <w:bottom w:val="none" w:color="000000" w:sz="0"/>
                          <w:right w:val="none" w:color="000000" w:sz="0"/>
                        </w:tcBorders>
                        <w:tcMar/>
                        <w:vAlign w:val="top"/>
                      </w:tcPr>
                      <w:p>
                        <w:r>
                          <w:t xml:space="preserve">315 </w:t>
                        </w:r>
                      </w:p>
                    </w:tc>
                    <w:tc>
                      <w:tcPr>
                        <w:tcBorders>
                          <w:top w:val="none" w:color="000000" w:sz="0"/>
                          <w:left w:val="none" w:color="000000" w:sz="0"/>
                          <w:bottom w:val="none" w:color="000000" w:sz="0"/>
                          <w:right w:val="none" w:color="000000" w:sz="0"/>
                        </w:tcBorders>
                        <w:tcMar/>
                        <w:vAlign w:val="top"/>
                      </w:tcPr>
                      <w:p>
                        <w:r>
                          <w:t xml:space="preserve">North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316 </w:t>
                        </w:r>
                      </w:p>
                    </w:tc>
                    <w:tc>
                      <w:tcPr>
                        <w:tcBorders>
                          <w:top w:val="none" w:color="000000" w:sz="0"/>
                          <w:left w:val="none" w:color="000000" w:sz="0"/>
                          <w:bottom w:val="none" w:color="000000" w:sz="0"/>
                          <w:right w:val="none" w:color="000000" w:sz="0"/>
                        </w:tcBorders>
                        <w:tcMar/>
                        <w:vAlign w:val="top"/>
                      </w:tcPr>
                      <w:p>
                        <w:r>
                          <w:t xml:space="preserve">Central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317 </w:t>
                        </w:r>
                      </w:p>
                    </w:tc>
                    <w:tc>
                      <w:tcPr>
                        <w:tcBorders>
                          <w:top w:val="none" w:color="000000" w:sz="0"/>
                          <w:left w:val="none" w:color="000000" w:sz="0"/>
                          <w:bottom w:val="none" w:color="000000" w:sz="0"/>
                          <w:right w:val="none" w:color="000000" w:sz="0"/>
                        </w:tcBorders>
                        <w:tcMar/>
                        <w:vAlign w:val="top"/>
                      </w:tcPr>
                      <w:p>
                        <w:r>
                          <w:t xml:space="preserve">Central West (Qld) </w:t>
                        </w:r>
                      </w:p>
                    </w:tc>
                  </w:tr>
                  <w:tr>
                    <w:trPr/>
                    <w:tc>
                      <w:tcPr>
                        <w:tcW w:w="1000" w:type="pct"/>
                        <w:tcBorders>
                          <w:top w:val="none" w:color="000000" w:sz="0"/>
                          <w:left w:val="none" w:color="000000" w:sz="0"/>
                          <w:bottom w:val="none" w:color="000000" w:sz="0"/>
                          <w:right w:val="none" w:color="000000" w:sz="0"/>
                        </w:tcBorders>
                        <w:tcMar/>
                        <w:vAlign w:val="top"/>
                      </w:tcPr>
                      <w:p>
                        <w:r>
                          <w:t xml:space="preserve">318 </w:t>
                        </w:r>
                      </w:p>
                    </w:tc>
                    <w:tc>
                      <w:tcPr>
                        <w:tcBorders>
                          <w:top w:val="none" w:color="000000" w:sz="0"/>
                          <w:left w:val="none" w:color="000000" w:sz="0"/>
                          <w:bottom w:val="none" w:color="000000" w:sz="0"/>
                          <w:right w:val="none" w:color="000000" w:sz="0"/>
                        </w:tcBorders>
                        <w:tcMar/>
                        <w:vAlign w:val="top"/>
                      </w:tcPr>
                      <w:p>
                        <w:r>
                          <w:t xml:space="preserve">Wide Bay </w:t>
                        </w:r>
                      </w:p>
                    </w:tc>
                  </w:tr>
                  <w:tr>
                    <w:trPr/>
                    <w:tc>
                      <w:tcPr>
                        <w:tcW w:w="1000" w:type="pct"/>
                        <w:tcBorders>
                          <w:top w:val="none" w:color="000000" w:sz="0"/>
                          <w:left w:val="none" w:color="000000" w:sz="0"/>
                          <w:bottom w:val="none" w:color="000000" w:sz="0"/>
                          <w:right w:val="none" w:color="000000" w:sz="0"/>
                        </w:tcBorders>
                        <w:tcMar/>
                        <w:vAlign w:val="top"/>
                      </w:tcPr>
                      <w:p>
                        <w:r>
                          <w:t xml:space="preserve">319 </w:t>
                        </w:r>
                      </w:p>
                    </w:tc>
                    <w:tc>
                      <w:tcPr>
                        <w:tcBorders>
                          <w:top w:val="none" w:color="000000" w:sz="0"/>
                          <w:left w:val="none" w:color="000000" w:sz="0"/>
                          <w:bottom w:val="none" w:color="000000" w:sz="0"/>
                          <w:right w:val="none" w:color="000000" w:sz="0"/>
                        </w:tcBorders>
                        <w:tcMar/>
                        <w:vAlign w:val="top"/>
                      </w:tcPr>
                      <w:p>
                        <w:r>
                          <w:t xml:space="preserve">Sunshine Coast </w:t>
                        </w:r>
                      </w:p>
                    </w:tc>
                  </w:tr>
                  <w:tr>
                    <w:trPr/>
                    <w:tc>
                      <w:tcPr>
                        <w:tcW w:w="1000" w:type="pct"/>
                        <w:tcBorders>
                          <w:top w:val="none" w:color="000000" w:sz="0"/>
                          <w:left w:val="none" w:color="000000" w:sz="0"/>
                          <w:bottom w:val="none" w:color="000000" w:sz="0"/>
                          <w:right w:val="none" w:color="000000" w:sz="0"/>
                        </w:tcBorders>
                        <w:tcMar/>
                        <w:vAlign w:val="top"/>
                      </w:tcPr>
                      <w:p>
                        <w:r>
                          <w:t xml:space="preserve">320 </w:t>
                        </w:r>
                      </w:p>
                    </w:tc>
                    <w:tc>
                      <w:tcPr>
                        <w:tcBorders>
                          <w:top w:val="none" w:color="000000" w:sz="0"/>
                          <w:left w:val="none" w:color="000000" w:sz="0"/>
                          <w:bottom w:val="none" w:color="000000" w:sz="0"/>
                          <w:right w:val="none" w:color="000000" w:sz="0"/>
                        </w:tcBorders>
                        <w:tcMar/>
                        <w:vAlign w:val="top"/>
                      </w:tcPr>
                      <w:p>
                        <w:r>
                          <w:t xml:space="preserve">Metro North (Qld)</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Children's Health Queensland </w:t>
                        </w:r>
                      </w:p>
                    </w:tc>
                  </w:tr>
                  <w:tr>
                    <w:trPr/>
                    <w:tc>
                      <w:tcPr>
                        <w:tcW w:w="1000" w:type="pct"/>
                        <w:tcBorders>
                          <w:top w:val="none" w:color="000000" w:sz="0"/>
                          <w:left w:val="none" w:color="000000" w:sz="0"/>
                          <w:bottom w:val="none" w:color="000000" w:sz="0"/>
                          <w:right w:val="none" w:color="000000" w:sz="0"/>
                        </w:tcBorders>
                        <w:tcMar/>
                        <w:vAlign w:val="top"/>
                      </w:tcPr>
                      <w:p>
                        <w:r>
                          <w:t xml:space="preserve">322 </w:t>
                        </w:r>
                      </w:p>
                    </w:tc>
                    <w:tc>
                      <w:tcPr>
                        <w:tcBorders>
                          <w:top w:val="none" w:color="000000" w:sz="0"/>
                          <w:left w:val="none" w:color="000000" w:sz="0"/>
                          <w:bottom w:val="none" w:color="000000" w:sz="0"/>
                          <w:right w:val="none" w:color="000000" w:sz="0"/>
                        </w:tcBorders>
                        <w:tcMar/>
                        <w:vAlign w:val="top"/>
                      </w:tcPr>
                      <w:p>
                        <w:r>
                          <w:t xml:space="preserve">Metro South (Qld)</w:t>
                        </w:r>
                      </w:p>
                    </w:tc>
                  </w:tr>
                  <w:tr>
                    <w:trPr/>
                    <w:tc>
                      <w:tcPr>
                        <w:tcW w:w="1000" w:type="pct"/>
                        <w:tcBorders>
                          <w:top w:val="none" w:color="000000" w:sz="0"/>
                          <w:left w:val="none" w:color="000000" w:sz="0"/>
                          <w:bottom w:val="none" w:color="000000" w:sz="0"/>
                          <w:right w:val="none" w:color="000000" w:sz="0"/>
                        </w:tcBorders>
                        <w:tcMar/>
                        <w:vAlign w:val="top"/>
                      </w:tcPr>
                      <w:p>
                        <w:r>
                          <w:t xml:space="preserve">323 </w:t>
                        </w:r>
                      </w:p>
                    </w:tc>
                    <w:tc>
                      <w:tcPr>
                        <w:tcBorders>
                          <w:top w:val="none" w:color="000000" w:sz="0"/>
                          <w:left w:val="none" w:color="000000" w:sz="0"/>
                          <w:bottom w:val="none" w:color="000000" w:sz="0"/>
                          <w:right w:val="none" w:color="000000" w:sz="0"/>
                        </w:tcBorders>
                        <w:tcMar/>
                        <w:vAlign w:val="top"/>
                      </w:tcPr>
                      <w:p>
                        <w:r>
                          <w:t xml:space="preserve">Gold Coast </w:t>
                        </w:r>
                      </w:p>
                    </w:tc>
                  </w:tr>
                  <w:tr>
                    <w:trPr/>
                    <w:tc>
                      <w:tcPr>
                        <w:tcW w:w="1000" w:type="pct"/>
                        <w:tcBorders>
                          <w:top w:val="none" w:color="000000" w:sz="0"/>
                          <w:left w:val="none" w:color="000000" w:sz="0"/>
                          <w:bottom w:val="none" w:color="000000" w:sz="0"/>
                          <w:right w:val="none" w:color="000000" w:sz="0"/>
                        </w:tcBorders>
                        <w:tcMar/>
                        <w:vAlign w:val="top"/>
                      </w:tcPr>
                      <w:p>
                        <w:r>
                          <w:t xml:space="preserve">324 </w:t>
                        </w:r>
                      </w:p>
                    </w:tc>
                    <w:tc>
                      <w:tcPr>
                        <w:tcBorders>
                          <w:top w:val="none" w:color="000000" w:sz="0"/>
                          <w:left w:val="none" w:color="000000" w:sz="0"/>
                          <w:bottom w:val="none" w:color="000000" w:sz="0"/>
                          <w:right w:val="none" w:color="000000" w:sz="0"/>
                        </w:tcBorders>
                        <w:tcMar/>
                        <w:vAlign w:val="top"/>
                      </w:tcPr>
                      <w:p>
                        <w:r>
                          <w:t xml:space="preserve">West Moreton </w:t>
                        </w:r>
                      </w:p>
                    </w:tc>
                  </w:tr>
                  <w:tr>
                    <w:trPr/>
                    <w:tc>
                      <w:tcPr>
                        <w:tcW w:w="1000" w:type="pct"/>
                        <w:tcBorders>
                          <w:top w:val="none" w:color="000000" w:sz="0"/>
                          <w:left w:val="none" w:color="000000" w:sz="0"/>
                          <w:bottom w:val="none" w:color="000000" w:sz="0"/>
                          <w:right w:val="none" w:color="000000" w:sz="0"/>
                        </w:tcBorders>
                        <w:tcMar/>
                        <w:vAlign w:val="top"/>
                      </w:tcPr>
                      <w:p>
                        <w:r>
                          <w:t xml:space="preserve">325 </w:t>
                        </w:r>
                      </w:p>
                    </w:tc>
                    <w:tc>
                      <w:tcPr>
                        <w:tcBorders>
                          <w:top w:val="none" w:color="000000" w:sz="0"/>
                          <w:left w:val="none" w:color="000000" w:sz="0"/>
                          <w:bottom w:val="none" w:color="000000" w:sz="0"/>
                          <w:right w:val="none" w:color="000000" w:sz="0"/>
                        </w:tcBorders>
                        <w:tcMar/>
                        <w:vAlign w:val="top"/>
                      </w:tcPr>
                      <w:p>
                        <w:r>
                          <w:t xml:space="preserve">Darling Downs</w:t>
                        </w:r>
                      </w:p>
                    </w:tc>
                  </w:tr>
                  <w:tr>
                    <w:trPr/>
                    <w:tc>
                      <w:tcPr>
                        <w:tcW w:w="1000" w:type="pct"/>
                        <w:tcBorders>
                          <w:top w:val="none" w:color="000000" w:sz="0"/>
                          <w:left w:val="none" w:color="000000" w:sz="0"/>
                          <w:bottom w:val="none" w:color="000000" w:sz="0"/>
                          <w:right w:val="none" w:color="000000" w:sz="0"/>
                        </w:tcBorders>
                        <w:tcMar/>
                        <w:vAlign w:val="top"/>
                      </w:tcPr>
                      <w:p>
                        <w:r>
                          <w:t xml:space="preserve">326 </w:t>
                        </w:r>
                      </w:p>
                    </w:tc>
                    <w:tc>
                      <w:tcPr>
                        <w:tcBorders>
                          <w:top w:val="none" w:color="000000" w:sz="0"/>
                          <w:left w:val="none" w:color="000000" w:sz="0"/>
                          <w:bottom w:val="none" w:color="000000" w:sz="0"/>
                          <w:right w:val="none" w:color="000000" w:sz="0"/>
                        </w:tcBorders>
                        <w:tcMar/>
                        <w:vAlign w:val="top"/>
                      </w:tcPr>
                      <w:p>
                        <w:r>
                          <w:t xml:space="preserve">South West (Qld) </w:t>
                        </w:r>
                      </w:p>
                    </w:tc>
                  </w:tr>
                  <w:tr>
                    <w:trPr/>
                    <w:tc>
                      <w:tcPr>
                        <w:tcW w:w="1000" w:type="pct"/>
                        <w:tcBorders>
                          <w:top w:val="none" w:color="000000" w:sz="0"/>
                          <w:left w:val="none" w:color="000000" w:sz="0"/>
                          <w:bottom w:val="none" w:color="000000" w:sz="0"/>
                          <w:right w:val="none" w:color="000000" w:sz="0"/>
                        </w:tcBorders>
                        <w:tcMar/>
                        <w:vAlign w:val="top"/>
                      </w:tcPr>
                      <w:p>
                        <w:r>
                          <w:t xml:space="preserve">327 </w:t>
                        </w:r>
                      </w:p>
                    </w:tc>
                    <w:tc>
                      <w:tcPr>
                        <w:tcBorders>
                          <w:top w:val="none" w:color="000000" w:sz="0"/>
                          <w:left w:val="none" w:color="000000" w:sz="0"/>
                          <w:bottom w:val="none" w:color="000000" w:sz="0"/>
                          <w:right w:val="none" w:color="000000" w:sz="0"/>
                        </w:tcBorders>
                        <w:tcMar/>
                        <w:vAlign w:val="top"/>
                      </w:tcPr>
                      <w:p>
                        <w:r>
                          <w:t xml:space="preserve">Torres and Cape</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Northern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402 </w:t>
                        </w:r>
                      </w:p>
                    </w:tc>
                    <w:tc>
                      <w:tcPr>
                        <w:tcBorders>
                          <w:top w:val="none" w:color="000000" w:sz="0"/>
                          <w:left w:val="none" w:color="000000" w:sz="0"/>
                          <w:bottom w:val="none" w:color="000000" w:sz="0"/>
                          <w:right w:val="none" w:color="000000" w:sz="0"/>
                        </w:tcBorders>
                        <w:tcMar/>
                        <w:vAlign w:val="top"/>
                      </w:tcPr>
                      <w:p>
                        <w:r>
                          <w:t xml:space="preserve">Central Adelaide </w:t>
                        </w:r>
                      </w:p>
                    </w:tc>
                  </w:tr>
                  <w:tr>
                    <w:trPr/>
                    <w:tc>
                      <w:tcPr>
                        <w:tcW w:w="1000" w:type="pct"/>
                        <w:tcBorders>
                          <w:top w:val="none" w:color="000000" w:sz="0"/>
                          <w:left w:val="none" w:color="000000" w:sz="0"/>
                          <w:bottom w:val="none" w:color="000000" w:sz="0"/>
                          <w:right w:val="none" w:color="000000" w:sz="0"/>
                        </w:tcBorders>
                        <w:tcMar/>
                        <w:vAlign w:val="top"/>
                      </w:tcPr>
                      <w:p>
                        <w:r>
                          <w:t xml:space="preserve">403 </w:t>
                        </w:r>
                      </w:p>
                    </w:tc>
                    <w:tc>
                      <w:tcPr>
                        <w:tcBorders>
                          <w:top w:val="none" w:color="000000" w:sz="0"/>
                          <w:left w:val="none" w:color="000000" w:sz="0"/>
                          <w:bottom w:val="none" w:color="000000" w:sz="0"/>
                          <w:right w:val="none" w:color="000000" w:sz="0"/>
                        </w:tcBorders>
                        <w:tcMar/>
                        <w:vAlign w:val="top"/>
                      </w:tcPr>
                      <w:p>
                        <w:r>
                          <w:t xml:space="preserve">Southern Adelaide</w:t>
                        </w:r>
                      </w:p>
                    </w:tc>
                  </w:tr>
                  <w:tr>
                    <w:trPr/>
                    <w:tc>
                      <w:tcPr>
                        <w:tcW w:w="1000" w:type="pct"/>
                        <w:tcBorders>
                          <w:top w:val="none" w:color="000000" w:sz="0"/>
                          <w:left w:val="none" w:color="000000" w:sz="0"/>
                          <w:bottom w:val="none" w:color="000000" w:sz="0"/>
                          <w:right w:val="none" w:color="000000" w:sz="0"/>
                        </w:tcBorders>
                        <w:tcMar/>
                        <w:vAlign w:val="top"/>
                      </w:tcPr>
                      <w:p>
                        <w:r>
                          <w:t xml:space="preserve">404 </w:t>
                        </w:r>
                      </w:p>
                    </w:tc>
                    <w:tc>
                      <w:tcPr>
                        <w:tcBorders>
                          <w:top w:val="none" w:color="000000" w:sz="0"/>
                          <w:left w:val="none" w:color="000000" w:sz="0"/>
                          <w:bottom w:val="none" w:color="000000" w:sz="0"/>
                          <w:right w:val="none" w:color="000000" w:sz="0"/>
                        </w:tcBorders>
                        <w:tcMar/>
                        <w:vAlign w:val="top"/>
                      </w:tcPr>
                      <w:p>
                        <w:r>
                          <w:t xml:space="preserve">Country Health SA</w:t>
                        </w:r>
                      </w:p>
                    </w:tc>
                  </w:tr>
                  <w:tr>
                    <w:trPr/>
                    <w:tc>
                      <w:tcPr>
                        <w:tcW w:w="1000" w:type="pct"/>
                        <w:tcBorders>
                          <w:top w:val="none" w:color="000000" w:sz="0"/>
                          <w:left w:val="none" w:color="000000" w:sz="0"/>
                          <w:bottom w:val="none" w:color="000000" w:sz="0"/>
                          <w:right w:val="none" w:color="000000" w:sz="0"/>
                        </w:tcBorders>
                        <w:tcMar/>
                        <w:vAlign w:val="top"/>
                      </w:tcPr>
                      <w:p>
                        <w:r>
                          <w:t xml:space="preserve">405 </w:t>
                        </w:r>
                      </w:p>
                    </w:tc>
                    <w:tc>
                      <w:tcPr>
                        <w:tcBorders>
                          <w:top w:val="none" w:color="000000" w:sz="0"/>
                          <w:left w:val="none" w:color="000000" w:sz="0"/>
                          <w:bottom w:val="none" w:color="000000" w:sz="0"/>
                          <w:right w:val="none" w:color="000000" w:sz="0"/>
                        </w:tcBorders>
                        <w:tcMar/>
                        <w:vAlign w:val="top"/>
                      </w:tcPr>
                      <w:p>
                        <w:r>
                          <w:t xml:space="preserve">Women's and Children's Health Network (SA)</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North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502 </w:t>
                        </w:r>
                      </w:p>
                    </w:tc>
                    <w:tc>
                      <w:tcPr>
                        <w:tcBorders>
                          <w:top w:val="none" w:color="000000" w:sz="0"/>
                          <w:left w:val="none" w:color="000000" w:sz="0"/>
                          <w:bottom w:val="none" w:color="000000" w:sz="0"/>
                          <w:right w:val="none" w:color="000000" w:sz="0"/>
                        </w:tcBorders>
                        <w:tcMar/>
                        <w:vAlign w:val="top"/>
                      </w:tcPr>
                      <w:p>
                        <w:r>
                          <w:t xml:space="preserve">South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503 </w:t>
                        </w:r>
                      </w:p>
                    </w:tc>
                    <w:tc>
                      <w:tcPr>
                        <w:tcBorders>
                          <w:top w:val="none" w:color="000000" w:sz="0"/>
                          <w:left w:val="none" w:color="000000" w:sz="0"/>
                          <w:bottom w:val="none" w:color="000000" w:sz="0"/>
                          <w:right w:val="none" w:color="000000" w:sz="0"/>
                        </w:tcBorders>
                        <w:tcMar/>
                        <w:vAlign w:val="top"/>
                      </w:tcPr>
                      <w:p>
                        <w:r>
                          <w:t xml:space="preserve">WA Country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504 </w:t>
                        </w:r>
                      </w:p>
                    </w:tc>
                    <w:tc>
                      <w:tcPr>
                        <w:tcBorders>
                          <w:top w:val="none" w:color="000000" w:sz="0"/>
                          <w:left w:val="none" w:color="000000" w:sz="0"/>
                          <w:bottom w:val="none" w:color="000000" w:sz="0"/>
                          <w:right w:val="none" w:color="000000" w:sz="0"/>
                        </w:tcBorders>
                        <w:tcMar/>
                        <w:vAlign w:val="top"/>
                      </w:tcPr>
                      <w:p>
                        <w:r>
                          <w:t xml:space="preserve">East Metropolitan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580 </w:t>
                        </w:r>
                      </w:p>
                    </w:tc>
                    <w:tc>
                      <w:tcPr>
                        <w:tcBorders>
                          <w:top w:val="none" w:color="000000" w:sz="0"/>
                          <w:left w:val="none" w:color="000000" w:sz="0"/>
                          <w:bottom w:val="none" w:color="000000" w:sz="0"/>
                          <w:right w:val="none" w:color="000000" w:sz="0"/>
                        </w:tcBorders>
                        <w:tcMar/>
                        <w:vAlign w:val="top"/>
                      </w:tcPr>
                      <w:p>
                        <w:r>
                          <w:t xml:space="preserve">Child Adolescent Health Service (WA) </w:t>
                        </w:r>
                      </w:p>
                    </w:tc>
                  </w:tr>
                  <w:tr>
                    <w:trPr/>
                    <w:tc>
                      <w:tcPr>
                        <w:tcW w:w="1000" w:type="pct"/>
                        <w:tcBorders>
                          <w:top w:val="none" w:color="000000" w:sz="0"/>
                          <w:left w:val="none" w:color="000000" w:sz="0"/>
                          <w:bottom w:val="none" w:color="000000" w:sz="0"/>
                          <w:right w:val="none" w:color="000000" w:sz="0"/>
                        </w:tcBorders>
                        <w:tcMar/>
                        <w:vAlign w:val="top"/>
                      </w:tcPr>
                      <w:p>
                        <w:r>
                          <w:t xml:space="preserve">590 </w:t>
                        </w:r>
                      </w:p>
                    </w:tc>
                    <w:tc>
                      <w:tcPr>
                        <w:tcBorders>
                          <w:top w:val="none" w:color="000000" w:sz="0"/>
                          <w:left w:val="none" w:color="000000" w:sz="0"/>
                          <w:bottom w:val="none" w:color="000000" w:sz="0"/>
                          <w:right w:val="none" w:color="000000" w:sz="0"/>
                        </w:tcBorders>
                        <w:tcMar/>
                        <w:vAlign w:val="top"/>
                      </w:tcPr>
                      <w:p>
                        <w:r>
                          <w:t xml:space="preserve">Notional Local Hospital Network (Royal St.)</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Health Organisation - South</w:t>
                        </w:r>
                      </w:p>
                    </w:tc>
                  </w:tr>
                  <w:tr>
                    <w:trPr/>
                    <w:tc>
                      <w:tcPr>
                        <w:tcW w:w="1000" w:type="pct"/>
                        <w:tcBorders>
                          <w:top w:val="none" w:color="000000" w:sz="0"/>
                          <w:left w:val="none" w:color="000000" w:sz="0"/>
                          <w:bottom w:val="none" w:color="000000" w:sz="0"/>
                          <w:right w:val="none" w:color="000000" w:sz="0"/>
                        </w:tcBorders>
                        <w:tcMar/>
                        <w:vAlign w:val="top"/>
                      </w:tcPr>
                      <w:p>
                        <w:r>
                          <w:t xml:space="preserve">602 </w:t>
                        </w:r>
                      </w:p>
                    </w:tc>
                    <w:tc>
                      <w:tcPr>
                        <w:tcBorders>
                          <w:top w:val="none" w:color="000000" w:sz="0"/>
                          <w:left w:val="none" w:color="000000" w:sz="0"/>
                          <w:bottom w:val="none" w:color="000000" w:sz="0"/>
                          <w:right w:val="none" w:color="000000" w:sz="0"/>
                        </w:tcBorders>
                        <w:tcMar/>
                        <w:vAlign w:val="top"/>
                      </w:tcPr>
                      <w:p>
                        <w:r>
                          <w:t xml:space="preserve">Tasmanian Health Organisation - North</w:t>
                        </w:r>
                      </w:p>
                    </w:tc>
                  </w:tr>
                  <w:tr>
                    <w:trPr/>
                    <w:tc>
                      <w:tcPr>
                        <w:tcW w:w="1000" w:type="pct"/>
                        <w:tcBorders>
                          <w:top w:val="none" w:color="000000" w:sz="0"/>
                          <w:left w:val="none" w:color="000000" w:sz="0"/>
                          <w:bottom w:val="none" w:color="000000" w:sz="0"/>
                          <w:right w:val="none" w:color="000000" w:sz="0"/>
                        </w:tcBorders>
                        <w:tcMar/>
                        <w:vAlign w:val="top"/>
                      </w:tcPr>
                      <w:p>
                        <w:r>
                          <w:t xml:space="preserve">603 </w:t>
                        </w:r>
                      </w:p>
                    </w:tc>
                    <w:tc>
                      <w:tcPr>
                        <w:tcBorders>
                          <w:top w:val="none" w:color="000000" w:sz="0"/>
                          <w:left w:val="none" w:color="000000" w:sz="0"/>
                          <w:bottom w:val="none" w:color="000000" w:sz="0"/>
                          <w:right w:val="none" w:color="000000" w:sz="0"/>
                        </w:tcBorders>
                        <w:tcMar/>
                        <w:vAlign w:val="top"/>
                      </w:tcPr>
                      <w:p>
                        <w:r>
                          <w:t xml:space="preserve">Tasmanian Health Organisation - North West</w:t>
                        </w:r>
                      </w:p>
                    </w:tc>
                  </w:tr>
                  <w:tr>
                    <w:trPr/>
                    <w:tc>
                      <w:tcPr>
                        <w:tcW w:w="1000" w:type="pct"/>
                        <w:tcBorders>
                          <w:top w:val="none" w:color="000000" w:sz="0"/>
                          <w:left w:val="none" w:color="000000" w:sz="0"/>
                          <w:bottom w:val="none" w:color="000000" w:sz="0"/>
                          <w:right w:val="none" w:color="000000" w:sz="0"/>
                        </w:tcBorders>
                        <w:tcMar/>
                        <w:vAlign w:val="top"/>
                      </w:tcPr>
                      <w:p>
                        <w:r>
                          <w:t xml:space="preserve">604 </w:t>
                        </w:r>
                      </w:p>
                    </w:tc>
                    <w:tc>
                      <w:tcPr>
                        <w:tcBorders>
                          <w:top w:val="none" w:color="000000" w:sz="0"/>
                          <w:left w:val="none" w:color="000000" w:sz="0"/>
                          <w:bottom w:val="none" w:color="000000" w:sz="0"/>
                          <w:right w:val="none" w:color="000000" w:sz="0"/>
                        </w:tcBorders>
                        <w:tcMar/>
                        <w:vAlign w:val="top"/>
                      </w:tcPr>
                      <w:p>
                        <w:r>
                          <w:t xml:space="preserve">Tasmanian Health Service</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Top End (NT)</w:t>
                        </w:r>
                      </w:p>
                    </w:tc>
                  </w:tr>
                  <w:tr>
                    <w:trPr/>
                    <w:tc>
                      <w:tcPr>
                        <w:tcW w:w="1000" w:type="pct"/>
                        <w:tcBorders>
                          <w:top w:val="none" w:color="000000" w:sz="0"/>
                          <w:left w:val="none" w:color="000000" w:sz="0"/>
                          <w:bottom w:val="none" w:color="000000" w:sz="0"/>
                          <w:right w:val="none" w:color="000000" w:sz="0"/>
                        </w:tcBorders>
                        <w:tcMar/>
                        <w:vAlign w:val="top"/>
                      </w:tcPr>
                      <w:p>
                        <w:r>
                          <w:t xml:space="preserve">702 </w:t>
                        </w:r>
                      </w:p>
                    </w:tc>
                    <w:tc>
                      <w:tcPr>
                        <w:tcBorders>
                          <w:top w:val="none" w:color="000000" w:sz="0"/>
                          <w:left w:val="none" w:color="000000" w:sz="0"/>
                          <w:bottom w:val="none" w:color="000000" w:sz="0"/>
                          <w:right w:val="none" w:color="000000" w:sz="0"/>
                        </w:tcBorders>
                        <w:tcMar/>
                        <w:vAlign w:val="top"/>
                      </w:tcPr>
                      <w:p>
                        <w:r>
                          <w:t xml:space="preserve">Central Australia (NT)</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199 </w:t>
                        </w:r>
                      </w:p>
                    </w:tc>
                    <w:tc>
                      <w:tcPr>
                        <w:tcBorders>
                          <w:top w:val="none" w:color="000000" w:sz="0"/>
                          <w:left w:val="none" w:color="000000" w:sz="0"/>
                          <w:bottom w:val="none" w:color="000000" w:sz="0"/>
                          <w:right w:val="none" w:color="000000" w:sz="0"/>
                        </w:tcBorders>
                        <w:tcMar/>
                        <w:vAlign w:val="top"/>
                      </w:tcPr>
                      <w:p>
                        <w:r>
                          <w:t xml:space="preserve">New South Wales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299 </w:t>
                        </w:r>
                      </w:p>
                    </w:tc>
                    <w:tc>
                      <w:tcPr>
                        <w:tcBorders>
                          <w:top w:val="none" w:color="000000" w:sz="0"/>
                          <w:left w:val="none" w:color="000000" w:sz="0"/>
                          <w:bottom w:val="none" w:color="000000" w:sz="0"/>
                          <w:right w:val="none" w:color="000000" w:sz="0"/>
                        </w:tcBorders>
                        <w:tcMar/>
                        <w:vAlign w:val="top"/>
                      </w:tcPr>
                      <w:p>
                        <w:r>
                          <w:t xml:space="preserve">Victoria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399 </w:t>
                        </w:r>
                      </w:p>
                    </w:tc>
                    <w:tc>
                      <w:tcPr>
                        <w:tcBorders>
                          <w:top w:val="none" w:color="000000" w:sz="0"/>
                          <w:left w:val="none" w:color="000000" w:sz="0"/>
                          <w:bottom w:val="none" w:color="000000" w:sz="0"/>
                          <w:right w:val="none" w:color="000000" w:sz="0"/>
                        </w:tcBorders>
                        <w:tcMar/>
                        <w:vAlign w:val="top"/>
                      </w:tcPr>
                      <w:p>
                        <w:r>
                          <w:t xml:space="preserve">Queensland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499 </w:t>
                        </w:r>
                      </w:p>
                    </w:tc>
                    <w:tc>
                      <w:tcPr>
                        <w:tcBorders>
                          <w:top w:val="none" w:color="000000" w:sz="0"/>
                          <w:left w:val="none" w:color="000000" w:sz="0"/>
                          <w:bottom w:val="none" w:color="000000" w:sz="0"/>
                          <w:right w:val="none" w:color="000000" w:sz="0"/>
                        </w:tcBorders>
                        <w:tcMar/>
                        <w:vAlign w:val="top"/>
                      </w:tcPr>
                      <w:p>
                        <w:r>
                          <w:t xml:space="preserve">South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599 </w:t>
                        </w:r>
                      </w:p>
                    </w:tc>
                    <w:tc>
                      <w:tcPr>
                        <w:tcBorders>
                          <w:top w:val="none" w:color="000000" w:sz="0"/>
                          <w:left w:val="none" w:color="000000" w:sz="0"/>
                          <w:bottom w:val="none" w:color="000000" w:sz="0"/>
                          <w:right w:val="none" w:color="000000" w:sz="0"/>
                        </w:tcBorders>
                        <w:tcMar/>
                        <w:vAlign w:val="top"/>
                      </w:tcPr>
                      <w:p>
                        <w:r>
                          <w:t xml:space="preserve">Western Australia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699 </w:t>
                        </w:r>
                      </w:p>
                    </w:tc>
                    <w:tc>
                      <w:tcPr>
                        <w:tcBorders>
                          <w:top w:val="none" w:color="000000" w:sz="0"/>
                          <w:left w:val="none" w:color="000000" w:sz="0"/>
                          <w:bottom w:val="none" w:color="000000" w:sz="0"/>
                          <w:right w:val="none" w:color="000000" w:sz="0"/>
                        </w:tcBorders>
                        <w:tcMar/>
                        <w:vAlign w:val="top"/>
                      </w:tcPr>
                      <w:p>
                        <w:r>
                          <w:t xml:space="preserve">Tasmania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799 </w:t>
                        </w:r>
                      </w:p>
                    </w:tc>
                    <w:tc>
                      <w:tcPr>
                        <w:tcBorders>
                          <w:top w:val="none" w:color="000000" w:sz="0"/>
                          <w:left w:val="none" w:color="000000" w:sz="0"/>
                          <w:bottom w:val="none" w:color="000000" w:sz="0"/>
                          <w:right w:val="none" w:color="000000" w:sz="0"/>
                        </w:tcBorders>
                        <w:tcMar/>
                        <w:vAlign w:val="top"/>
                      </w:tcPr>
                      <w:p>
                        <w:r>
                          <w:t xml:space="preserve">Northern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899 </w:t>
                        </w:r>
                      </w:p>
                    </w:tc>
                    <w:tc>
                      <w:tcPr>
                        <w:tcBorders>
                          <w:top w:val="none" w:color="000000" w:sz="0"/>
                          <w:left w:val="none" w:color="000000" w:sz="0"/>
                          <w:bottom w:val="none" w:color="000000" w:sz="0"/>
                          <w:right w:val="none" w:color="000000" w:sz="0"/>
                        </w:tcBorders>
                        <w:tcMar/>
                        <w:vAlign w:val="top"/>
                      </w:tcPr>
                      <w:p>
                        <w:r>
                          <w:t xml:space="preserve">Australian Capital Territory Virtual Local Hospital Network</w:t>
                        </w:r>
                      </w:p>
                    </w:tc>
                  </w:tr>
                  <w:tr>
                    <w:trPr/>
                    <w:tc>
                      <w:tcPr>
                        <w:tcW w:w="1000" w:type="pct"/>
                        <w:tcBorders>
                          <w:top w:val="none" w:color="000000" w:sz="0"/>
                          <w:left w:val="none" w:color="000000" w:sz="0"/>
                          <w:bottom w:val="none" w:color="000000" w:sz="0"/>
                          <w:right w:val="none" w:color="000000" w:sz="0"/>
                        </w:tcBorders>
                        <w:tcMar/>
                        <w:vAlign w:val="top"/>
                      </w:tcPr>
                      <w:p>
                        <w:r>
                          <w:t xml:space="preserve">900 </w:t>
                        </w:r>
                      </w:p>
                    </w:tc>
                    <w:tc>
                      <w:tcPr>
                        <w:tcBorders>
                          <w:top w:val="none" w:color="000000" w:sz="0"/>
                          <w:left w:val="none" w:color="000000" w:sz="0"/>
                          <w:bottom w:val="none" w:color="000000" w:sz="0"/>
                          <w:right w:val="none" w:color="000000" w:sz="0"/>
                        </w:tcBorders>
                        <w:tcMar/>
                        <w:vAlign w:val="top"/>
                      </w:tcPr>
                      <w:p>
                        <w:r>
                          <w:t xml:space="preserve">Virtual Local Hospital Network - Unknown</w:t>
                        </w:r>
                      </w:p>
                    </w:tc>
                  </w:tr>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840d0b5954b40c3">
                    <w:r>
                      <w:rPr>
                        <w:rStyle w:val="Hyperlink"/>
                      </w:rPr>
                      <w:t xml:space="preserve">Separations</w:t>
                    </w:r>
                  </w:hyperlink>
                </w:p>
              </w:tc>
              <w:tc>
                <w:tcPr>
                  <w:vAlign w:val="top"/>
                </w:tcPr>
                <w:p>
                  <w:r>
                    <w:t xml:space="preserve">270407</w:t>
                  </w:r>
                </w:p>
              </w:tc>
              <w:tc>
                <w:tcPr>
                  <w:vAlign w:val="top"/>
                </w:tcPr>
                <w:p>
                  <w:r>
                    <w:t xml:space="preserve">Number
[6]</w:t>
                  </w:r>
                </w:p>
              </w:tc>
              <w:tc>
                <w:tcPr>
                  <w:vAlign w:val="top"/>
                </w:tcPr>
                <w:p>
                  <w:r>
                    <w:t xml:space="preserve">N[NNNNN]</w:t>
                  </w:r>
                  <w:r>
                    <w:br/>
                  </w:r>
                  <w:r>
                    <w:t xml:space="preserve">Total number of separations.</w:t>
                  </w:r>
                </w:p>
              </w:tc>
            </w:tr>
            <w:tr>
              <w:trPr/>
              <w:tc>
                <w:tcPr>
                  <w:tcMar>
                    <w:right w:w="29" w:type="dxa"/>
                  </w:tcMar>
                  <w:vAlign w:val="top"/>
                </w:tcPr>
                <w:p>
                  <w:pPr>
                    <w:keepNext/>
                    <w:jc w:val="center"/>
                  </w:pPr>
                  <w:r>
                    <w:t xml:space="preserve">-</w:t>
                  </w:r>
                </w:p>
              </w:tc>
              <w:tc>
                <w:tcPr>
                  <w:tcMar/>
                  <w:vAlign w:val="top"/>
                </w:tcPr>
                <w:p>
                  <w:hyperlink w:history="true" r:id="R24dcf28bff434877">
                    <w:r>
                      <w:rPr>
                        <w:rStyle w:val="Hyperlink"/>
                      </w:rPr>
                      <w:t xml:space="preserve">Recurrent expenditure—administrative expenses</w:t>
                    </w:r>
                  </w:hyperlink>
                </w:p>
              </w:tc>
              <w:tc>
                <w:tcPr>
                  <w:vAlign w:val="top"/>
                </w:tcPr>
                <w:p>
                  <w:r>
                    <w:t xml:space="preserve">270107</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7e8538f406054ec9">
                    <w:r>
                      <w:rPr>
                        <w:rStyle w:val="Hyperlink"/>
                      </w:rPr>
                      <w:t xml:space="preserve">Recurrent expenditure—Department of Veterans' Affairs funded</w:t>
                    </w:r>
                  </w:hyperlink>
                </w:p>
              </w:tc>
              <w:tc>
                <w:tcPr>
                  <w:vAlign w:val="top"/>
                </w:tcPr>
                <w:p>
                  <w:r>
                    <w:t xml:space="preserve">377992</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e709e29262154315">
                    <w:r>
                      <w:rPr>
                        <w:rStyle w:val="Hyperlink"/>
                      </w:rPr>
                      <w:t xml:space="preserve">Recurrent expenditure—depreciation</w:t>
                    </w:r>
                  </w:hyperlink>
                </w:p>
              </w:tc>
              <w:tc>
                <w:tcPr>
                  <w:vAlign w:val="top"/>
                </w:tcPr>
                <w:p>
                  <w:r>
                    <w:t xml:space="preserve">270279</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40547fbc00d44c27">
                    <w:r>
                      <w:rPr>
                        <w:rStyle w:val="Hyperlink"/>
                      </w:rPr>
                      <w:t xml:space="preserve">Recurrent expenditure—domestic services</w:t>
                    </w:r>
                  </w:hyperlink>
                </w:p>
              </w:tc>
              <w:tc>
                <w:tcPr>
                  <w:vAlign w:val="top"/>
                </w:tcPr>
                <w:p>
                  <w:r>
                    <w:t xml:space="preserve">270283</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d83fa6c85bb84bbe">
                    <w:r>
                      <w:rPr>
                        <w:rStyle w:val="Hyperlink"/>
                      </w:rPr>
                      <w:t xml:space="preserve">Recurrent expenditure—drug supplies</w:t>
                    </w:r>
                  </w:hyperlink>
                </w:p>
              </w:tc>
              <w:tc>
                <w:tcPr>
                  <w:vAlign w:val="top"/>
                </w:tcPr>
                <w:p>
                  <w:r>
                    <w:t xml:space="preserve">270282</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7d0f2b1575f04b29">
                    <w:r>
                      <w:rPr>
                        <w:rStyle w:val="Hyperlink"/>
                      </w:rPr>
                      <w:t xml:space="preserve">Recurrent expenditure—food supplies</w:t>
                    </w:r>
                  </w:hyperlink>
                </w:p>
              </w:tc>
              <w:tc>
                <w:tcPr>
                  <w:vAlign w:val="top"/>
                </w:tcPr>
                <w:p>
                  <w:r>
                    <w:t xml:space="preserve">270284</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d4b7100f413a4970">
                    <w:r>
                      <w:rPr>
                        <w:rStyle w:val="Hyperlink"/>
                      </w:rPr>
                      <w:t xml:space="preserve">Recurrent expenditure—interest payments</w:t>
                    </w:r>
                  </w:hyperlink>
                </w:p>
              </w:tc>
              <w:tc>
                <w:tcPr>
                  <w:vAlign w:val="top"/>
                </w:tcPr>
                <w:p>
                  <w:r>
                    <w:t xml:space="preserve">270186</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33648a44938040bf">
                    <w:r>
                      <w:rPr>
                        <w:rStyle w:val="Hyperlink"/>
                      </w:rPr>
                      <w:t xml:space="preserve">Recurrent expenditure—medical and surgical supplies</w:t>
                    </w:r>
                  </w:hyperlink>
                </w:p>
              </w:tc>
              <w:tc>
                <w:tcPr>
                  <w:vAlign w:val="top"/>
                </w:tcPr>
                <w:p>
                  <w:r>
                    <w:t xml:space="preserve">270358</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6b33a1d6846946de">
                    <w:r>
                      <w:rPr>
                        <w:rStyle w:val="Hyperlink"/>
                      </w:rPr>
                      <w:t xml:space="preserve">Recurrent expenditure—other Commonwealth Government funded</w:t>
                    </w:r>
                  </w:hyperlink>
                </w:p>
              </w:tc>
              <w:tc>
                <w:tcPr>
                  <w:vAlign w:val="top"/>
                </w:tcPr>
                <w:p>
                  <w:r>
                    <w:t xml:space="preserve">288031</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a06e49de0edc49ad">
                    <w:r>
                      <w:rPr>
                        <w:rStyle w:val="Hyperlink"/>
                      </w:rPr>
                      <w:t xml:space="preserve">Recurrent expenditure—other patient revenue funded</w:t>
                    </w:r>
                  </w:hyperlink>
                </w:p>
              </w:tc>
              <w:tc>
                <w:tcPr>
                  <w:vAlign w:val="top"/>
                </w:tcPr>
                <w:p>
                  <w:r>
                    <w:t xml:space="preserve">290583</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d315a4e7071a4403">
                    <w:r>
                      <w:rPr>
                        <w:rStyle w:val="Hyperlink"/>
                      </w:rPr>
                      <w:t xml:space="preserve">Recurrent expenditure—other recurrent expenditure</w:t>
                    </w:r>
                  </w:hyperlink>
                </w:p>
              </w:tc>
              <w:tc>
                <w:tcPr>
                  <w:vAlign w:val="top"/>
                </w:tcPr>
                <w:p>
                  <w:r>
                    <w:t xml:space="preserve">270126</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3b1e02ded10049a6">
                    <w:r>
                      <w:rPr>
                        <w:rStyle w:val="Hyperlink"/>
                      </w:rPr>
                      <w:t xml:space="preserve">Recurrent expenditure—other revenue funded</w:t>
                    </w:r>
                  </w:hyperlink>
                </w:p>
              </w:tc>
              <w:tc>
                <w:tcPr>
                  <w:vAlign w:val="top"/>
                </w:tcPr>
                <w:p>
                  <w:r>
                    <w:t xml:space="preserve">288071</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43dd08ff917940d8">
                    <w:r>
                      <w:rPr>
                        <w:rStyle w:val="Hyperlink"/>
                      </w:rPr>
                      <w:t xml:space="preserve">Recurrent expenditure—other State or Territory funded</w:t>
                    </w:r>
                  </w:hyperlink>
                </w:p>
              </w:tc>
              <w:tc>
                <w:tcPr>
                  <w:vAlign w:val="top"/>
                </w:tcPr>
                <w:p>
                  <w:r>
                    <w:t xml:space="preserve">288075</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4fe0574a012c4658">
                    <w:r>
                      <w:rPr>
                        <w:rStyle w:val="Hyperlink"/>
                      </w:rPr>
                      <w:t xml:space="preserve">Recurrent expenditure—patient transport</w:t>
                    </w:r>
                  </w:hyperlink>
                </w:p>
              </w:tc>
              <w:tc>
                <w:tcPr>
                  <w:vAlign w:val="top"/>
                </w:tcPr>
                <w:p>
                  <w:r>
                    <w:t xml:space="preserve">270048</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0fa633f9b5094760">
                    <w:r>
                      <w:rPr>
                        <w:rStyle w:val="Hyperlink"/>
                      </w:rPr>
                      <w:t xml:space="preserve">Recurrent expenditure—recoveries funded</w:t>
                    </w:r>
                  </w:hyperlink>
                </w:p>
              </w:tc>
              <w:tc>
                <w:tcPr>
                  <w:vAlign w:val="top"/>
                </w:tcPr>
                <w:p>
                  <w:r>
                    <w:t xml:space="preserve">288685</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fcbdb4312e594c75">
                    <w:r>
                      <w:rPr>
                        <w:rStyle w:val="Hyperlink"/>
                      </w:rPr>
                      <w:t xml:space="preserve">Recurrent expenditure—repairs and maintenance</w:t>
                    </w:r>
                  </w:hyperlink>
                </w:p>
              </w:tc>
              <w:tc>
                <w:tcPr>
                  <w:vAlign w:val="top"/>
                </w:tcPr>
                <w:p>
                  <w:r>
                    <w:t xml:space="preserve">269970</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66e75829417f437d">
                    <w:r>
                      <w:rPr>
                        <w:rStyle w:val="Hyperlink"/>
                      </w:rPr>
                      <w:t xml:space="preserve">Recurrent expenditure (salaries and wages)—administrative and clerical staff</w:t>
                    </w:r>
                  </w:hyperlink>
                </w:p>
              </w:tc>
              <w:tc>
                <w:tcPr>
                  <w:vAlign w:val="top"/>
                </w:tcPr>
                <w:p>
                  <w:r>
                    <w:t xml:space="preserve">270275</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67894ba93acd44d8">
                    <w:r>
                      <w:rPr>
                        <w:rStyle w:val="Hyperlink"/>
                      </w:rPr>
                      <w:t xml:space="preserve">Recurrent expenditure (salaries and wages)—consultant psychiatrists and psychiatrists</w:t>
                    </w:r>
                  </w:hyperlink>
                </w:p>
              </w:tc>
              <w:tc>
                <w:tcPr>
                  <w:vAlign w:val="top"/>
                </w:tcPr>
                <w:p>
                  <w:r>
                    <w:t xml:space="preserve">288767</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746228cc42da4158">
                    <w:r>
                      <w:rPr>
                        <w:rStyle w:val="Hyperlink"/>
                      </w:rPr>
                      <w:t xml:space="preserve">Recurrent expenditure (salaries and wages)—domestic and other staff</w:t>
                    </w:r>
                  </w:hyperlink>
                </w:p>
              </w:tc>
              <w:tc>
                <w:tcPr>
                  <w:vAlign w:val="top"/>
                </w:tcPr>
                <w:p>
                  <w:r>
                    <w:t xml:space="preserve">270276</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1d145dc17530460f">
                    <w:r>
                      <w:rPr>
                        <w:rStyle w:val="Hyperlink"/>
                      </w:rPr>
                      <w:t xml:space="preserve">Recurrent expenditure (salaries and wages)—enrolled nurses</w:t>
                    </w:r>
                  </w:hyperlink>
                </w:p>
              </w:tc>
              <w:tc>
                <w:tcPr>
                  <w:vAlign w:val="top"/>
                </w:tcPr>
                <w:p>
                  <w:r>
                    <w:t xml:space="preserve">270270</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2e495aa2f7ba438e">
                    <w:r>
                      <w:rPr>
                        <w:rStyle w:val="Hyperlink"/>
                      </w:rPr>
                      <w:t xml:space="preserve">Recurrent expenditure (salaries and wages)—mental health carer workers</w:t>
                    </w:r>
                  </w:hyperlink>
                </w:p>
              </w:tc>
              <w:tc>
                <w:tcPr>
                  <w:vAlign w:val="top"/>
                </w:tcPr>
                <w:p>
                  <w:r>
                    <w:t xml:space="preserve">451432</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57db8203b9a548e5">
                    <w:r>
                      <w:rPr>
                        <w:rStyle w:val="Hyperlink"/>
                      </w:rPr>
                      <w:t xml:space="preserve">Recurrent expenditure (salaries and wages)—mental health consumer workers</w:t>
                    </w:r>
                  </w:hyperlink>
                </w:p>
              </w:tc>
              <w:tc>
                <w:tcPr>
                  <w:vAlign w:val="top"/>
                </w:tcPr>
                <w:p>
                  <w:r>
                    <w:t xml:space="preserve">451428</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c6a58fa217f44e7d">
                    <w:r>
                      <w:rPr>
                        <w:rStyle w:val="Hyperlink"/>
                      </w:rPr>
                      <w:t xml:space="preserve">Recurrent expenditure (salaries and wages)—occupational therapists</w:t>
                    </w:r>
                  </w:hyperlink>
                </w:p>
              </w:tc>
              <w:tc>
                <w:tcPr>
                  <w:vAlign w:val="top"/>
                </w:tcPr>
                <w:p>
                  <w:r>
                    <w:t xml:space="preserve">288778</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05e873bb75ea42c7">
                    <w:r>
                      <w:rPr>
                        <w:rStyle w:val="Hyperlink"/>
                      </w:rPr>
                      <w:t xml:space="preserve">Recurrent expenditure (salaries and wages)—other diagnostic and health professionals</w:t>
                    </w:r>
                  </w:hyperlink>
                </w:p>
              </w:tc>
              <w:tc>
                <w:tcPr>
                  <w:vAlign w:val="top"/>
                </w:tcPr>
                <w:p>
                  <w:r>
                    <w:t xml:space="preserve">288786</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7ef9e1eb30a64c06">
                    <w:r>
                      <w:rPr>
                        <w:rStyle w:val="Hyperlink"/>
                      </w:rPr>
                      <w:t xml:space="preserve">Recurrent expenditure (salaries and wages)—other medical officers</w:t>
                    </w:r>
                  </w:hyperlink>
                </w:p>
              </w:tc>
              <w:tc>
                <w:tcPr>
                  <w:vAlign w:val="top"/>
                </w:tcPr>
                <w:p>
                  <w:r>
                    <w:t xml:space="preserve">288776</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5963d2aea48f4477">
                    <w:r>
                      <w:rPr>
                        <w:rStyle w:val="Hyperlink"/>
                      </w:rPr>
                      <w:t xml:space="preserve">Recurrent expenditure (salaries and wages)—other personal care staff</w:t>
                    </w:r>
                  </w:hyperlink>
                </w:p>
              </w:tc>
              <w:tc>
                <w:tcPr>
                  <w:vAlign w:val="top"/>
                </w:tcPr>
                <w:p>
                  <w:r>
                    <w:t xml:space="preserve">270273</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d0ad49d4a2784a70">
                    <w:r>
                      <w:rPr>
                        <w:rStyle w:val="Hyperlink"/>
                      </w:rPr>
                      <w:t xml:space="preserve">Recurrent expenditure (salaries and wages)—psychiatry registrars and trainees</w:t>
                    </w:r>
                  </w:hyperlink>
                </w:p>
              </w:tc>
              <w:tc>
                <w:tcPr>
                  <w:vAlign w:val="top"/>
                </w:tcPr>
                <w:p>
                  <w:r>
                    <w:t xml:space="preserve">288774</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ae77eec524d744e2">
                    <w:r>
                      <w:rPr>
                        <w:rStyle w:val="Hyperlink"/>
                      </w:rPr>
                      <w:t xml:space="preserve">Recurrent expenditure (salaries and wages)—psychologists</w:t>
                    </w:r>
                  </w:hyperlink>
                </w:p>
              </w:tc>
              <w:tc>
                <w:tcPr>
                  <w:vAlign w:val="top"/>
                </w:tcPr>
                <w:p>
                  <w:r>
                    <w:t xml:space="preserve">288784</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f0d14d9007ec442c">
                    <w:r>
                      <w:rPr>
                        <w:rStyle w:val="Hyperlink"/>
                      </w:rPr>
                      <w:t xml:space="preserve">Recurrent expenditure (salaries and wages)—registered nurses</w:t>
                    </w:r>
                  </w:hyperlink>
                </w:p>
              </w:tc>
              <w:tc>
                <w:tcPr>
                  <w:vAlign w:val="top"/>
                </w:tcPr>
                <w:p>
                  <w:r>
                    <w:t xml:space="preserve">270269</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a6e5d3870c2549d1">
                    <w:r>
                      <w:rPr>
                        <w:rStyle w:val="Hyperlink"/>
                      </w:rPr>
                      <w:t xml:space="preserve">Recurrent expenditure (salaries and wages)—social workers</w:t>
                    </w:r>
                  </w:hyperlink>
                </w:p>
              </w:tc>
              <w:tc>
                <w:tcPr>
                  <w:vAlign w:val="top"/>
                </w:tcPr>
                <w:p>
                  <w:r>
                    <w:t xml:space="preserve">288780</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232da477f71d42d1">
                    <w:r>
                      <w:rPr>
                        <w:rStyle w:val="Hyperlink"/>
                      </w:rPr>
                      <w:t xml:space="preserve">Recurrent expenditure—State or Territory health authority funded</w:t>
                    </w:r>
                  </w:hyperlink>
                </w:p>
              </w:tc>
              <w:tc>
                <w:tcPr>
                  <w:vAlign w:val="top"/>
                </w:tcPr>
                <w:p>
                  <w:r>
                    <w:t xml:space="preserve">288965</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d69f9946bd0e4ad1">
                    <w:r>
                      <w:rPr>
                        <w:rStyle w:val="Hyperlink"/>
                      </w:rPr>
                      <w:t xml:space="preserve">Recurrent expenditure—superannuation employer contributions</w:t>
                    </w:r>
                  </w:hyperlink>
                </w:p>
              </w:tc>
              <w:tc>
                <w:tcPr>
                  <w:vAlign w:val="top"/>
                </w:tcPr>
                <w:p>
                  <w:r>
                    <w:t xml:space="preserve">270371</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29910951b3a14029">
                    <w:r>
                      <w:rPr>
                        <w:rStyle w:val="Hyperlink"/>
                      </w:rPr>
                      <w:t xml:space="preserve">Recurrent expenditure—payments to visiting medical officers</w:t>
                    </w:r>
                  </w:hyperlink>
                </w:p>
              </w:tc>
              <w:tc>
                <w:tcPr>
                  <w:vAlign w:val="top"/>
                </w:tcPr>
                <w:p>
                  <w:r>
                    <w:t xml:space="preserve">270049</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7fe746ddda0c4698">
                    <w:r>
                      <w:rPr>
                        <w:rStyle w:val="Hyperlink"/>
                      </w:rPr>
                      <w:t xml:space="preserve">Region code</w:t>
                    </w:r>
                  </w:hyperlink>
                </w:p>
              </w:tc>
              <w:tc>
                <w:tcPr>
                  <w:vAlign w:val="top"/>
                </w:tcPr>
                <w:p>
                  <w:r>
                    <w:t xml:space="preserve">269940</w:t>
                  </w:r>
                </w:p>
              </w:tc>
              <w:tc>
                <w:tcPr>
                  <w:vAlign w:val="top"/>
                </w:tcPr>
                <w:p>
                  <w:r>
                    <w:t xml:space="preserve">String
[2]</w:t>
                  </w:r>
                </w:p>
              </w:tc>
              <w:tc>
                <w:tcPr>
                  <w:vAlign w:val="top"/>
                </w:tcPr>
                <w:p>
                  <w:r>
                    <w:t xml:space="preserve">X[X]</w:t>
                  </w:r>
                  <w:r>
                    <w:br/>
                  </w:r>
                  <w:r>
                    <w:t xml:space="preserve">A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0a41a2a5e5f74d66">
                    <w:r>
                      <w:rPr>
                        <w:rStyle w:val="Hyperlink"/>
                      </w:rPr>
                      <w:t xml:space="preserve">Region name</w:t>
                    </w:r>
                  </w:hyperlink>
                </w:p>
              </w:tc>
              <w:tc>
                <w:tcPr>
                  <w:vAlign w:val="top"/>
                </w:tcPr>
                <w:p>
                  <w:r>
                    <w:t xml:space="preserve">407187</w:t>
                  </w:r>
                </w:p>
              </w:tc>
              <w:tc>
                <w:tcPr>
                  <w:vAlign w:val="top"/>
                </w:tcPr>
                <w:p>
                  <w:r>
                    <w:t xml:space="preserve">String
[60]</w:t>
                  </w:r>
                </w:p>
              </w:tc>
              <w:tc>
                <w:tcPr>
                  <w:vAlign w:val="top"/>
                </w:tcPr>
                <w:p>
                  <w:r>
                    <w:t xml:space="preserve">XXX[X(57)]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3286e35dbd0c4654">
                    <w:r>
                      <w:rPr>
                        <w:rStyle w:val="Hyperlink"/>
                      </w:rPr>
                      <w:t xml:space="preserve">Establishment sector</w:t>
                    </w:r>
                  </w:hyperlink>
                </w:p>
              </w:tc>
              <w:tc>
                <w:tcPr>
                  <w:vAlign w:val="top"/>
                </w:tcPr>
                <w:p>
                  <w:r>
                    <w:t xml:space="preserve">269977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Private</w:t>
                        </w:r>
                      </w:p>
                    </w:tc>
                  </w:tr>
                </w:tbl>
                <w:p/>
              </w:tc>
            </w:tr>
            <w:tr>
              <w:trPr/>
              <w:tc>
                <w:tcPr>
                  <w:tcMar>
                    <w:right w:w="29" w:type="dxa"/>
                  </w:tcMar>
                  <w:vAlign w:val="top"/>
                </w:tcPr>
                <w:p>
                  <w:pPr>
                    <w:keepNext/>
                    <w:jc w:val="center"/>
                  </w:pPr>
                  <w:r>
                    <w:t xml:space="preserve">-</w:t>
                  </w:r>
                </w:p>
              </w:tc>
              <w:tc>
                <w:tcPr>
                  <w:tcMar/>
                  <w:vAlign w:val="top"/>
                </w:tcPr>
                <w:p>
                  <w:hyperlink w:history="true" r:id="Rcfd987c07e1f4cd2">
                    <w:r>
                      <w:rPr>
                        <w:rStyle w:val="Hyperlink"/>
                      </w:rPr>
                      <w:t xml:space="preserve">Service unit cluster identifier</w:t>
                    </w:r>
                  </w:hyperlink>
                </w:p>
              </w:tc>
              <w:tc>
                <w:tcPr>
                  <w:vAlign w:val="top"/>
                </w:tcPr>
                <w:p>
                  <w:r>
                    <w:t xml:space="preserve">404858</w:t>
                  </w:r>
                </w:p>
              </w:tc>
              <w:tc>
                <w:tcPr>
                  <w:vAlign w:val="top"/>
                </w:tcPr>
                <w:p>
                  <w:r>
                    <w:t xml:space="preserve">String
[5]</w:t>
                  </w:r>
                </w:p>
              </w:tc>
              <w:tc>
                <w:tcPr>
                  <w:vAlign w:val="top"/>
                </w:tcPr>
                <w:p>
                  <w:r>
                    <w:t xml:space="preserve">XXXXX</w:t>
                  </w:r>
                  <w:r>
                    <w:br/>
                  </w:r>
                  <w:r>
                    <w:t xml:space="preserve">A combination of numeric and/or alphabetic characters that identify an entity.</w:t>
                  </w:r>
                </w:p>
              </w:tc>
            </w:tr>
            <w:tr>
              <w:trPr/>
              <w:tc>
                <w:tcPr>
                  <w:tcMar>
                    <w:right w:w="29" w:type="dxa"/>
                  </w:tcMar>
                  <w:vAlign w:val="top"/>
                </w:tcPr>
                <w:p>
                  <w:pPr>
                    <w:keepNext/>
                    <w:jc w:val="center"/>
                  </w:pPr>
                  <w:r>
                    <w:t xml:space="preserve">-</w:t>
                  </w:r>
                </w:p>
              </w:tc>
              <w:tc>
                <w:tcPr>
                  <w:tcMar/>
                  <w:vAlign w:val="top"/>
                </w:tcPr>
                <w:p>
                  <w:hyperlink w:history="true" r:id="R28e243c6b8724f57">
                    <w:r>
                      <w:rPr>
                        <w:rStyle w:val="Hyperlink"/>
                      </w:rPr>
                      <w:t xml:space="preserve">Service unit cluster name</w:t>
                    </w:r>
                  </w:hyperlink>
                </w:p>
              </w:tc>
              <w:tc>
                <w:tcPr>
                  <w:vAlign w:val="top"/>
                </w:tcPr>
                <w:p>
                  <w:r>
                    <w:t xml:space="preserve">409209</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56d5ccf8e64c46b8">
                    <w:r>
                      <w:rPr>
                        <w:rStyle w:val="Hyperlink"/>
                      </w:rPr>
                      <w:t xml:space="preserve">Hospital identifier</w:t>
                    </w:r>
                  </w:hyperlink>
                </w:p>
              </w:tc>
              <w:tc>
                <w:tcPr>
                  <w:vAlign w:val="top"/>
                </w:tcPr>
                <w:p>
                  <w:r>
                    <w:t xml:space="preserve">404239</w:t>
                  </w:r>
                </w:p>
              </w:tc>
              <w:tc>
                <w:tcPr>
                  <w:vAlign w:val="top"/>
                </w:tcPr>
                <w:p>
                  <w:r>
                    <w:t xml:space="preserve">String
[5]</w:t>
                  </w:r>
                </w:p>
              </w:tc>
              <w:tc>
                <w:tcPr>
                  <w:vAlign w:val="top"/>
                </w:tcPr>
                <w:p>
                  <w:r>
                    <w:t xml:space="preserve">XXXXX</w:t>
                  </w:r>
                  <w:r>
                    <w:br/>
                  </w:r>
                  <w:r>
                    <w:t xml:space="preserve">A combination of numeric and/or alphabetic characters that identify an entity.</w:t>
                  </w:r>
                </w:p>
              </w:tc>
            </w:tr>
            <w:tr>
              <w:trPr/>
              <w:tc>
                <w:tcPr>
                  <w:tcMar>
                    <w:right w:w="29" w:type="dxa"/>
                  </w:tcMar>
                  <w:vAlign w:val="top"/>
                </w:tcPr>
                <w:p>
                  <w:pPr>
                    <w:keepNext/>
                    <w:jc w:val="center"/>
                  </w:pPr>
                  <w:r>
                    <w:t xml:space="preserve">-</w:t>
                  </w:r>
                </w:p>
              </w:tc>
              <w:tc>
                <w:tcPr>
                  <w:tcMar/>
                  <w:vAlign w:val="top"/>
                </w:tcPr>
                <w:p>
                  <w:hyperlink w:history="true" r:id="Re607d056536e4228">
                    <w:r>
                      <w:rPr>
                        <w:rStyle w:val="Hyperlink"/>
                      </w:rPr>
                      <w:t xml:space="preserve">Hospital name</w:t>
                    </w:r>
                  </w:hyperlink>
                </w:p>
              </w:tc>
              <w:tc>
                <w:tcPr>
                  <w:vAlign w:val="top"/>
                </w:tcPr>
                <w:p>
                  <w:r>
                    <w:t xml:space="preserve">407430</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d30d56a9fd114eee">
                    <w:r>
                      <w:rPr>
                        <w:rStyle w:val="Hyperlink"/>
                      </w:rPr>
                      <w:t xml:space="preserve">Grants to non-government organisations</w:t>
                    </w:r>
                  </w:hyperlink>
                </w:p>
              </w:tc>
              <w:tc>
                <w:tcPr>
                  <w:vAlign w:val="top"/>
                </w:tcPr>
                <w:p>
                  <w:r>
                    <w:t xml:space="preserve">567363</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d6374549459f460d">
                    <w:r>
                      <w:rPr>
                        <w:rStyle w:val="Hyperlink"/>
                      </w:rPr>
                      <w:t xml:space="preserve">Mental health NGO service type</w:t>
                    </w:r>
                  </w:hyperlink>
                </w:p>
              </w:tc>
              <w:tc>
                <w:tcPr>
                  <w:vAlign w:val="top"/>
                </w:tcPr>
                <w:p>
                  <w:r>
                    <w:t xml:space="preserve">567352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Counselling—face-to-face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Counselling, support, information and referral—telephone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Counselling, support, information and referral—online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Self-help—online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Group support activities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Mutual support and self-help</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Staffed residential services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Personalised support—linked to housing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Personalised support—other</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Family and carer support</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Individual advocacy</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Care coordination</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Service integration infrastructure</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Education, employment and training</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Sector development and representation</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Mental health promotion</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Mental illness prevention</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 and unspecified services</w:t>
                        </w:r>
                      </w:p>
                    </w:tc>
                  </w:tr>
                </w:tbl>
                <w:p/>
              </w:tc>
            </w:tr>
            <w:tr>
              <w:trPr/>
              <w:tc>
                <w:tcPr>
                  <w:tcMar>
                    <w:right w:w="29" w:type="dxa"/>
                  </w:tcMar>
                  <w:vAlign w:val="top"/>
                </w:tcPr>
                <w:p>
                  <w:pPr>
                    <w:keepNext/>
                    <w:jc w:val="center"/>
                  </w:pPr>
                  <w:r>
                    <w:t xml:space="preserve">-</w:t>
                  </w:r>
                </w:p>
              </w:tc>
              <w:tc>
                <w:tcPr>
                  <w:tcMar/>
                  <w:vAlign w:val="top"/>
                </w:tcPr>
                <w:p>
                  <w:hyperlink w:history="true" r:id="Rffb8f67e62c34ab2">
                    <w:r>
                      <w:rPr>
                        <w:rStyle w:val="Hyperlink"/>
                      </w:rPr>
                      <w:t xml:space="preserve">Carer representation arrangements indicator</w:t>
                    </w:r>
                  </w:hyperlink>
                </w:p>
              </w:tc>
              <w:tc>
                <w:tcPr>
                  <w:vAlign w:val="top"/>
                </w:tcPr>
                <w:p>
                  <w:r>
                    <w:t xml:space="preserve">529383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1bdf7c212e84c0f">
                    <w:r>
                      <w:rPr>
                        <w:rStyle w:val="Hyperlink"/>
                      </w:rPr>
                      <w:t xml:space="preserve">Consumer committee representation arrangements</w:t>
                    </w:r>
                  </w:hyperlink>
                </w:p>
              </w:tc>
              <w:tc>
                <w:tcPr>
                  <w:vAlign w:val="top"/>
                </w:tcPr>
                <w:p>
                  <w:r>
                    <w:t xml:space="preserve">288855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Formal position(s) for consumers exist on the organisation’s management committee for the appointment of person(s) to represent the interests of consumers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Specific consumer advisory committee(s) exists to advise on all relevant mental health services managed by the organisation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Specific consumer advisory committee(s) exists to advise on some but not all relevant mental health services managed by the organisation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Consumers participate on a broadly based advisory committee which include a mixture of organisations and groups representing a wide range of interests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Consumers are not represented on any advisory committee but are encouraged to meet with senior representatives of the organisation as required</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No specific arrangements exist for consumer participation in planning and evaluation of services</w:t>
                        </w:r>
                      </w:p>
                    </w:tc>
                  </w:tr>
                </w:tbl>
                <w:p/>
              </w:tc>
            </w:tr>
            <w:tr>
              <w:trPr/>
              <w:tc>
                <w:tcPr>
                  <w:tcMar>
                    <w:right w:w="29" w:type="dxa"/>
                  </w:tcMar>
                  <w:vAlign w:val="top"/>
                </w:tcPr>
                <w:p>
                  <w:pPr>
                    <w:keepNext/>
                    <w:jc w:val="center"/>
                  </w:pPr>
                  <w:r>
                    <w:t xml:space="preserve">-</w:t>
                  </w:r>
                </w:p>
              </w:tc>
              <w:tc>
                <w:tcPr>
                  <w:tcMar/>
                  <w:vAlign w:val="top"/>
                </w:tcPr>
                <w:p>
                  <w:hyperlink w:history="true" r:id="R830c82dbb5e94c13">
                    <w:r>
                      <w:rPr>
                        <w:rStyle w:val="Hyperlink"/>
                      </w:rPr>
                      <w:t xml:space="preserve">Consumer representation arrangements indicator</w:t>
                    </w:r>
                  </w:hyperlink>
                </w:p>
              </w:tc>
              <w:tc>
                <w:tcPr>
                  <w:vAlign w:val="top"/>
                </w:tcPr>
                <w:p>
                  <w:r>
                    <w:t xml:space="preserve">529103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0a8593172954f37">
                    <w:r>
                      <w:rPr>
                        <w:rStyle w:val="Hyperlink"/>
                      </w:rPr>
                      <w:t xml:space="preserve">Organisation identifier</w:t>
                    </w:r>
                  </w:hyperlink>
                </w:p>
              </w:tc>
              <w:tc>
                <w:tcPr>
                  <w:vAlign w:val="top"/>
                </w:tcPr>
                <w:p>
                  <w:r>
                    <w:t xml:space="preserve">404186</w:t>
                  </w:r>
                </w:p>
              </w:tc>
              <w:tc>
                <w:tcPr>
                  <w:vAlign w:val="top"/>
                </w:tcPr>
                <w:p>
                  <w:r>
                    <w:t xml:space="preserve">String
[4]</w:t>
                  </w:r>
                </w:p>
              </w:tc>
              <w:tc>
                <w:tcPr>
                  <w:vAlign w:val="top"/>
                </w:tcPr>
                <w:p>
                  <w:r>
                    <w:t xml:space="preserve">XXXX</w:t>
                  </w:r>
                  <w:r>
                    <w:br/>
                  </w:r>
                  <w:r>
                    <w:t xml:space="preserve">A combination of numeric and/or alphabetic characters that identify an entity.</w:t>
                  </w:r>
                </w:p>
              </w:tc>
            </w:tr>
            <w:tr>
              <w:trPr/>
              <w:tc>
                <w:tcPr>
                  <w:tcMar>
                    <w:right w:w="29" w:type="dxa"/>
                  </w:tcMar>
                  <w:vAlign w:val="top"/>
                </w:tcPr>
                <w:p>
                  <w:pPr>
                    <w:keepNext/>
                    <w:jc w:val="center"/>
                  </w:pPr>
                  <w:r>
                    <w:t xml:space="preserve">-</w:t>
                  </w:r>
                </w:p>
              </w:tc>
              <w:tc>
                <w:tcPr>
                  <w:tcMar/>
                  <w:vAlign w:val="top"/>
                </w:tcPr>
                <w:p>
                  <w:hyperlink w:history="true" r:id="Rbf0b09561a974737">
                    <w:r>
                      <w:rPr>
                        <w:rStyle w:val="Hyperlink"/>
                      </w:rPr>
                      <w:t xml:space="preserve">Specialised mental health service organisation name</w:t>
                    </w:r>
                  </w:hyperlink>
                </w:p>
              </w:tc>
              <w:tc>
                <w:tcPr>
                  <w:vAlign w:val="top"/>
                </w:tcPr>
                <w:p>
                  <w:r>
                    <w:t xml:space="preserve">405767</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9bbb238ddf514202">
                    <w:r>
                      <w:rPr>
                        <w:rStyle w:val="Hyperlink"/>
                      </w:rPr>
                      <w:t xml:space="preserve">Specialised mental health service delivery setting</w:t>
                    </w:r>
                  </w:hyperlink>
                </w:p>
              </w:tc>
              <w:tc>
                <w:tcPr>
                  <w:vAlign w:val="top"/>
                </w:tcPr>
                <w:p>
                  <w:r>
                    <w:t xml:space="preserve">493347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Admitted patient care setting</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Residential care setting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Ambulatory care setting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Organisational overhead setting</w:t>
                        </w:r>
                      </w:p>
                    </w:tc>
                  </w:tr>
                </w:tbl>
                <w:p/>
              </w:tc>
            </w:tr>
            <w:tr>
              <w:trPr/>
              <w:tc>
                <w:tcPr>
                  <w:tcMar>
                    <w:right w:w="29" w:type="dxa"/>
                  </w:tcMar>
                  <w:vAlign w:val="top"/>
                </w:tcPr>
                <w:p>
                  <w:pPr>
                    <w:keepNext/>
                    <w:jc w:val="center"/>
                  </w:pPr>
                  <w:r>
                    <w:t xml:space="preserve">-</w:t>
                  </w:r>
                </w:p>
              </w:tc>
              <w:tc>
                <w:tcPr>
                  <w:tcMar/>
                  <w:vAlign w:val="top"/>
                </w:tcPr>
                <w:p>
                  <w:hyperlink w:history="true" r:id="Re1e07ec318c54264">
                    <w:r>
                      <w:rPr>
                        <w:rStyle w:val="Hyperlink"/>
                      </w:rPr>
                      <w:t xml:space="preserve">Use of formal complaints mechanism for carer participation arrangements indicator</w:t>
                    </w:r>
                  </w:hyperlink>
                </w:p>
              </w:tc>
              <w:tc>
                <w:tcPr>
                  <w:vAlign w:val="top"/>
                </w:tcPr>
                <w:p>
                  <w:r>
                    <w:t xml:space="preserve">564666</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93d70c9c67e428f">
                    <w:r>
                      <w:rPr>
                        <w:rStyle w:val="Hyperlink"/>
                      </w:rPr>
                      <w:t xml:space="preserve">Use of formal complaints mechanism for consumer participation arrangements indicator</w:t>
                    </w:r>
                  </w:hyperlink>
                </w:p>
              </w:tc>
              <w:tc>
                <w:tcPr>
                  <w:vAlign w:val="top"/>
                </w:tcPr>
                <w:p>
                  <w:r>
                    <w:t xml:space="preserve">564674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589bee226564ba5">
                    <w:r>
                      <w:rPr>
                        <w:rStyle w:val="Hyperlink"/>
                      </w:rPr>
                      <w:t xml:space="preserve">Use of formal participation policy for carer participation arrangements indicator</w:t>
                    </w:r>
                  </w:hyperlink>
                </w:p>
              </w:tc>
              <w:tc>
                <w:tcPr>
                  <w:vAlign w:val="top"/>
                </w:tcPr>
                <w:p>
                  <w:r>
                    <w:t xml:space="preserve">529235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951ffd10ac1458c">
                    <w:r>
                      <w:rPr>
                        <w:rStyle w:val="Hyperlink"/>
                      </w:rPr>
                      <w:t xml:space="preserve">Use of formal participation policy for consumer participation arrangements indicator</w:t>
                    </w:r>
                  </w:hyperlink>
                </w:p>
              </w:tc>
              <w:tc>
                <w:tcPr>
                  <w:vAlign w:val="top"/>
                </w:tcPr>
                <w:p>
                  <w:r>
                    <w:t xml:space="preserve">529185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7d0e18b746e4b5d">
                    <w:r>
                      <w:rPr>
                        <w:rStyle w:val="Hyperlink"/>
                      </w:rPr>
                      <w:t xml:space="preserve">Use of regular carer experience surveys for carer participation arrangements indicator</w:t>
                    </w:r>
                  </w:hyperlink>
                </w:p>
              </w:tc>
              <w:tc>
                <w:tcPr>
                  <w:vAlign w:val="top"/>
                </w:tcPr>
                <w:p>
                  <w:r>
                    <w:t xml:space="preserve">529231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c201d189a2d40b9">
                    <w:r>
                      <w:rPr>
                        <w:rStyle w:val="Hyperlink"/>
                      </w:rPr>
                      <w:t xml:space="preserve">Use of regular consumer experience surveys for consumer participation arrangements indicator</w:t>
                    </w:r>
                  </w:hyperlink>
                </w:p>
              </w:tc>
              <w:tc>
                <w:tcPr>
                  <w:vAlign w:val="top"/>
                </w:tcPr>
                <w:p>
                  <w:r>
                    <w:t xml:space="preserve">529170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6e1baf47ed3d45aa">
                    <w:r>
                      <w:rPr>
                        <w:rStyle w:val="Hyperlink"/>
                      </w:rPr>
                      <w:t xml:space="preserve">Use of regular discussion groups for carer participation arrangements indicator</w:t>
                    </w:r>
                  </w:hyperlink>
                </w:p>
              </w:tc>
              <w:tc>
                <w:tcPr>
                  <w:vAlign w:val="top"/>
                </w:tcPr>
                <w:p>
                  <w:r>
                    <w:t xml:space="preserve">529237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dfdca83920b4f57">
                    <w:r>
                      <w:rPr>
                        <w:rStyle w:val="Hyperlink"/>
                      </w:rPr>
                      <w:t xml:space="preserve">Use of regular discussion groups for consumer participation arrangements indicator</w:t>
                    </w:r>
                  </w:hyperlink>
                </w:p>
              </w:tc>
              <w:tc>
                <w:tcPr>
                  <w:vAlign w:val="top"/>
                </w:tcPr>
                <w:p>
                  <w:r>
                    <w:t xml:space="preserve">529224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2c43d132e154664">
                    <w:r>
                      <w:rPr>
                        <w:rStyle w:val="Hyperlink"/>
                      </w:rPr>
                      <w:t xml:space="preserve">National standards for mental health services review status</w:t>
                    </w:r>
                  </w:hyperlink>
                </w:p>
              </w:tc>
              <w:tc>
                <w:tcPr>
                  <w:vAlign w:val="top"/>
                </w:tcPr>
                <w:p>
                  <w:r>
                    <w:t xml:space="preserve">573549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The service unit had been reviewed and was judged to have met all of the applicable National standards as determined by the accrediting agency</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The service unit had been reviewed by an external accrediting agency and was judged to have met some but not all of the National standards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The service unit was in the process of being reviewed by an external accrediting agency but the outcomes were not known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The service unit was booked for review by an external accrediting agency and was engaged in self-assessment preparation prior to the formal external review</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The service unit was engaged in self-assessment in relation to the National standards but did not have a contractual arrangement with an external accrediting agency for review</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The service unit had not commenced the preparations for review by an external accrediting agency but this was intended to be undertaken in the future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It had not been resolved whether the service unit would undertake review by an external accrediting agency under the National standards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The National standards are not applicable to this service unit</w:t>
                        </w:r>
                      </w:p>
                    </w:tc>
                  </w:tr>
                </w:tbl>
                <w:p/>
              </w:tc>
            </w:tr>
            <w:tr>
              <w:trPr/>
              <w:tc>
                <w:tcPr>
                  <w:tcMar>
                    <w:right w:w="29" w:type="dxa"/>
                  </w:tcMar>
                  <w:vAlign w:val="top"/>
                </w:tcPr>
                <w:p>
                  <w:pPr>
                    <w:keepNext/>
                    <w:jc w:val="center"/>
                  </w:pPr>
                  <w:r>
                    <w:t xml:space="preserve">-</w:t>
                  </w:r>
                </w:p>
              </w:tc>
              <w:tc>
                <w:tcPr>
                  <w:tcMar/>
                  <w:vAlign w:val="top"/>
                </w:tcPr>
                <w:p>
                  <w:hyperlink w:history="true" r:id="Rb564a2b00a674e30">
                    <w:r>
                      <w:rPr>
                        <w:rStyle w:val="Hyperlink"/>
                      </w:rPr>
                      <w:t xml:space="preserve">Specialised mental health service program type</w:t>
                    </w:r>
                  </w:hyperlink>
                </w:p>
              </w:tc>
              <w:tc>
                <w:tcPr>
                  <w:vAlign w:val="top"/>
                </w:tcPr>
                <w:p>
                  <w:r>
                    <w:t xml:space="preserve">288889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Acute care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Other</w:t>
                        </w:r>
                      </w:p>
                    </w:tc>
                  </w:tr>
                </w:tbl>
                <w:p/>
              </w:tc>
            </w:tr>
            <w:tr>
              <w:trPr/>
              <w:tc>
                <w:tcPr>
                  <w:tcMar>
                    <w:right w:w="29" w:type="dxa"/>
                  </w:tcMar>
                  <w:vAlign w:val="top"/>
                </w:tcPr>
                <w:p>
                  <w:pPr>
                    <w:keepNext/>
                    <w:jc w:val="center"/>
                  </w:pPr>
                  <w:r>
                    <w:t xml:space="preserve">-</w:t>
                  </w:r>
                </w:p>
              </w:tc>
              <w:tc>
                <w:tcPr>
                  <w:tcMar/>
                  <w:vAlign w:val="top"/>
                </w:tcPr>
                <w:p>
                  <w:hyperlink w:history="true" r:id="R5fcea5871593460b">
                    <w:r>
                      <w:rPr>
                        <w:rStyle w:val="Hyperlink"/>
                      </w:rPr>
                      <w:t xml:space="preserve">Admitted patient service unit identifier</w:t>
                    </w:r>
                  </w:hyperlink>
                </w:p>
              </w:tc>
              <w:tc>
                <w:tcPr>
                  <w:vAlign w:val="top"/>
                </w:tcPr>
                <w:p>
                  <w:r>
                    <w:t xml:space="preserve">404390</w:t>
                  </w:r>
                </w:p>
              </w:tc>
              <w:tc>
                <w:tcPr>
                  <w:vAlign w:val="top"/>
                </w:tcPr>
                <w:p>
                  <w:r>
                    <w:t xml:space="preserve">String
[6]</w:t>
                  </w:r>
                </w:p>
              </w:tc>
              <w:tc>
                <w:tcPr>
                  <w:vAlign w:val="top"/>
                </w:tcPr>
                <w:p>
                  <w:r>
                    <w:t xml:space="preserve">XXXXXX</w:t>
                  </w:r>
                  <w:r>
                    <w:br/>
                  </w:r>
                  <w:r>
                    <w:t xml:space="preserve">A combination of numeric and/or alphabetic characters that identify a service unit.</w:t>
                  </w:r>
                </w:p>
              </w:tc>
            </w:tr>
            <w:tr>
              <w:trPr/>
              <w:tc>
                <w:tcPr>
                  <w:tcMar>
                    <w:right w:w="29" w:type="dxa"/>
                  </w:tcMar>
                  <w:vAlign w:val="top"/>
                </w:tcPr>
                <w:p>
                  <w:pPr>
                    <w:keepNext/>
                    <w:jc w:val="center"/>
                  </w:pPr>
                  <w:r>
                    <w:t xml:space="preserve">-</w:t>
                  </w:r>
                </w:p>
              </w:tc>
              <w:tc>
                <w:tcPr>
                  <w:tcMar/>
                  <w:vAlign w:val="top"/>
                </w:tcPr>
                <w:p>
                  <w:hyperlink w:history="true" r:id="R29e092845dd14c10">
                    <w:r>
                      <w:rPr>
                        <w:rStyle w:val="Hyperlink"/>
                      </w:rPr>
                      <w:t xml:space="preserve">Admitted patient service unit name</w:t>
                    </w:r>
                  </w:hyperlink>
                </w:p>
              </w:tc>
              <w:tc>
                <w:tcPr>
                  <w:vAlign w:val="top"/>
                </w:tcPr>
                <w:p>
                  <w:r>
                    <w:t xml:space="preserve">407462</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07a64385ddce44a7">
                    <w:r>
                      <w:rPr>
                        <w:rStyle w:val="Hyperlink"/>
                      </w:rPr>
                      <w:t xml:space="preserve">Ambulatory service unit identifier</w:t>
                    </w:r>
                  </w:hyperlink>
                </w:p>
              </w:tc>
              <w:tc>
                <w:tcPr>
                  <w:vAlign w:val="top"/>
                </w:tcPr>
                <w:p>
                  <w:r>
                    <w:t xml:space="preserve">404829</w:t>
                  </w:r>
                </w:p>
              </w:tc>
              <w:tc>
                <w:tcPr>
                  <w:vAlign w:val="top"/>
                </w:tcPr>
                <w:p>
                  <w:r>
                    <w:t xml:space="preserve">String
[6]</w:t>
                  </w:r>
                </w:p>
              </w:tc>
              <w:tc>
                <w:tcPr>
                  <w:vAlign w:val="top"/>
                </w:tcPr>
                <w:p>
                  <w:r>
                    <w:t xml:space="preserve">XXXXXX</w:t>
                  </w:r>
                  <w:r>
                    <w:br/>
                  </w:r>
                  <w:r>
                    <w:t xml:space="preserve">A combination of numeric and/or alphabetic characters that identify a service unit.</w:t>
                  </w:r>
                </w:p>
              </w:tc>
            </w:tr>
            <w:tr>
              <w:trPr/>
              <w:tc>
                <w:tcPr>
                  <w:tcMar>
                    <w:right w:w="29" w:type="dxa"/>
                  </w:tcMar>
                  <w:vAlign w:val="top"/>
                </w:tcPr>
                <w:p>
                  <w:pPr>
                    <w:keepNext/>
                    <w:jc w:val="center"/>
                  </w:pPr>
                  <w:r>
                    <w:t xml:space="preserve">-</w:t>
                  </w:r>
                </w:p>
              </w:tc>
              <w:tc>
                <w:tcPr>
                  <w:tcMar/>
                  <w:vAlign w:val="top"/>
                </w:tcPr>
                <w:p>
                  <w:hyperlink w:history="true" r:id="Rd2521048f23d41b2">
                    <w:r>
                      <w:rPr>
                        <w:rStyle w:val="Hyperlink"/>
                      </w:rPr>
                      <w:t xml:space="preserve">Ambulatory service unit name</w:t>
                    </w:r>
                  </w:hyperlink>
                </w:p>
              </w:tc>
              <w:tc>
                <w:tcPr>
                  <w:vAlign w:val="top"/>
                </w:tcPr>
                <w:p>
                  <w:r>
                    <w:t xml:space="preserve">409038</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b8b5a5a2f2d94a4a">
                    <w:r>
                      <w:rPr>
                        <w:rStyle w:val="Hyperlink"/>
                      </w:rPr>
                      <w:t xml:space="preserve">Co-location status of mental health service</w:t>
                    </w:r>
                  </w:hyperlink>
                </w:p>
              </w:tc>
              <w:tc>
                <w:tcPr>
                  <w:vAlign w:val="top"/>
                </w:tcPr>
                <w:p>
                  <w:r>
                    <w:t xml:space="preserve">286995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Co-located</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Not co-located</w:t>
                        </w:r>
                      </w:p>
                    </w:tc>
                  </w:tr>
                </w:tbl>
                <w:p/>
              </w:tc>
            </w:tr>
            <w:tr>
              <w:trPr/>
              <w:tc>
                <w:tcPr>
                  <w:tcMar>
                    <w:right w:w="29" w:type="dxa"/>
                  </w:tcMar>
                  <w:vAlign w:val="top"/>
                </w:tcPr>
                <w:p>
                  <w:pPr>
                    <w:keepNext/>
                    <w:jc w:val="center"/>
                  </w:pPr>
                  <w:r>
                    <w:t xml:space="preserve">-</w:t>
                  </w:r>
                </w:p>
              </w:tc>
              <w:tc>
                <w:tcPr>
                  <w:tcMar/>
                  <w:vAlign w:val="top"/>
                </w:tcPr>
                <w:p>
                  <w:hyperlink w:history="true" r:id="R2556ff162eb240fe">
                    <w:r>
                      <w:rPr>
                        <w:rStyle w:val="Hyperlink"/>
                      </w:rPr>
                      <w:t xml:space="preserve">Non-government non-profit indicator</w:t>
                    </w:r>
                  </w:hyperlink>
                </w:p>
              </w:tc>
              <w:tc>
                <w:tcPr>
                  <w:vAlign w:val="top"/>
                </w:tcPr>
                <w:p>
                  <w:r>
                    <w:t xml:space="preserve">378745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f2c4cf8173624b76">
                    <w:r>
                      <w:rPr>
                        <w:rStyle w:val="Hyperlink"/>
                      </w:rPr>
                      <w:t xml:space="preserve">Number of clients receiving services</w:t>
                    </w:r>
                  </w:hyperlink>
                </w:p>
              </w:tc>
              <w:tc>
                <w:tcPr>
                  <w:vAlign w:val="top"/>
                </w:tcPr>
                <w:p>
                  <w:r>
                    <w:t xml:space="preserve">494391</w:t>
                  </w:r>
                </w:p>
              </w:tc>
              <w:tc>
                <w:tcPr>
                  <w:vAlign w:val="top"/>
                </w:tcPr>
                <w:p>
                  <w:r>
                    <w:t xml:space="preserve">Number
[6]</w:t>
                  </w:r>
                </w:p>
              </w:tc>
              <w:tc>
                <w:tcPr>
                  <w:vAlign w:val="top"/>
                </w:tcPr>
                <w:p>
                  <w:r>
                    <w:t xml:space="preserve">NNNNNN</w:t>
                  </w:r>
                  <w:r>
                    <w:br/>
                  </w:r>
                  <w:r>
                    <w:t xml:space="preserve">Total number of people or clients.</w:t>
                  </w:r>
                </w:p>
              </w:tc>
            </w:tr>
            <w:tr>
              <w:trPr/>
              <w:tc>
                <w:tcPr>
                  <w:tcMar>
                    <w:right w:w="29" w:type="dxa"/>
                  </w:tcMar>
                  <w:vAlign w:val="top"/>
                </w:tcPr>
                <w:p>
                  <w:pPr>
                    <w:keepNext/>
                    <w:jc w:val="center"/>
                  </w:pPr>
                  <w:r>
                    <w:t xml:space="preserve">-</w:t>
                  </w:r>
                </w:p>
              </w:tc>
              <w:tc>
                <w:tcPr>
                  <w:tcMar/>
                  <w:vAlign w:val="top"/>
                </w:tcPr>
                <w:p>
                  <w:hyperlink w:history="true" r:id="R5690a0e204aa479f">
                    <w:r>
                      <w:rPr>
                        <w:rStyle w:val="Hyperlink"/>
                      </w:rPr>
                      <w:t xml:space="preserve">Specialised mental health service—hours staffed</w:t>
                    </w:r>
                  </w:hyperlink>
                </w:p>
              </w:tc>
              <w:tc>
                <w:tcPr>
                  <w:vAlign w:val="top"/>
                </w:tcPr>
                <w:p>
                  <w:r>
                    <w:t xml:space="preserve">288877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Unknown/not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6e0da0b37394f37">
                    <w:r>
                      <w:rPr>
                        <w:rStyle w:val="Hyperlink"/>
                      </w:rPr>
                      <w:t xml:space="preserve">Number of service contacts</w:t>
                    </w:r>
                  </w:hyperlink>
                </w:p>
              </w:tc>
              <w:tc>
                <w:tcPr>
                  <w:vAlign w:val="top"/>
                </w:tcPr>
                <w:p>
                  <w:r>
                    <w:t xml:space="preserve">494401</w:t>
                  </w:r>
                </w:p>
              </w:tc>
              <w:tc>
                <w:tcPr>
                  <w:vAlign w:val="top"/>
                </w:tcPr>
                <w:p>
                  <w:r>
                    <w:t xml:space="preserve">Number
[6]</w:t>
                  </w:r>
                </w:p>
              </w:tc>
              <w:tc>
                <w:tcPr>
                  <w:vAlign w:val="top"/>
                </w:tcPr>
                <w:p>
                  <w:r>
                    <w:t xml:space="preserve">NNNNNN</w:t>
                  </w:r>
                  <w:r>
                    <w:br/>
                  </w:r>
                  <w:r>
                    <w:t xml:space="preserve">Total number of service contacts.</w:t>
                  </w:r>
                </w:p>
              </w:tc>
            </w:tr>
            <w:tr>
              <w:trPr/>
              <w:tc>
                <w:tcPr>
                  <w:tcMar>
                    <w:right w:w="29" w:type="dxa"/>
                  </w:tcMar>
                  <w:vAlign w:val="top"/>
                </w:tcPr>
                <w:p>
                  <w:pPr>
                    <w:keepNext/>
                    <w:jc w:val="center"/>
                  </w:pPr>
                  <w:r>
                    <w:t xml:space="preserve">-</w:t>
                  </w:r>
                </w:p>
              </w:tc>
              <w:tc>
                <w:tcPr>
                  <w:tcMar/>
                  <w:vAlign w:val="top"/>
                </w:tcPr>
                <w:p>
                  <w:hyperlink w:history="true" r:id="R567511d36a4f4a06">
                    <w:r>
                      <w:rPr>
                        <w:rStyle w:val="Hyperlink"/>
                      </w:rPr>
                      <w:t xml:space="preserve">Residential service unit identifier</w:t>
                    </w:r>
                  </w:hyperlink>
                </w:p>
              </w:tc>
              <w:tc>
                <w:tcPr>
                  <w:vAlign w:val="top"/>
                </w:tcPr>
                <w:p>
                  <w:r>
                    <w:t xml:space="preserve">404837</w:t>
                  </w:r>
                </w:p>
              </w:tc>
              <w:tc>
                <w:tcPr>
                  <w:vAlign w:val="top"/>
                </w:tcPr>
                <w:p>
                  <w:r>
                    <w:t xml:space="preserve">String
[6]</w:t>
                  </w:r>
                </w:p>
              </w:tc>
              <w:tc>
                <w:tcPr>
                  <w:vAlign w:val="top"/>
                </w:tcPr>
                <w:p>
                  <w:r>
                    <w:t xml:space="preserve">XXXXXX</w:t>
                  </w:r>
                  <w:r>
                    <w:br/>
                  </w:r>
                  <w:r>
                    <w:t xml:space="preserve">A combination of numeric and/or alphabetic characters that identify a service unit.</w:t>
                  </w:r>
                </w:p>
              </w:tc>
            </w:tr>
            <w:tr>
              <w:trPr/>
              <w:tc>
                <w:tcPr>
                  <w:tcMar>
                    <w:right w:w="29" w:type="dxa"/>
                  </w:tcMar>
                  <w:vAlign w:val="top"/>
                </w:tcPr>
                <w:p>
                  <w:pPr>
                    <w:keepNext/>
                    <w:jc w:val="center"/>
                  </w:pPr>
                  <w:r>
                    <w:t xml:space="preserve">-</w:t>
                  </w:r>
                </w:p>
              </w:tc>
              <w:tc>
                <w:tcPr>
                  <w:tcMar/>
                  <w:vAlign w:val="top"/>
                </w:tcPr>
                <w:p>
                  <w:hyperlink w:history="true" r:id="R8bdc87c3975a4ba8">
                    <w:r>
                      <w:rPr>
                        <w:rStyle w:val="Hyperlink"/>
                      </w:rPr>
                      <w:t xml:space="preserve">Residential service unit name</w:t>
                    </w:r>
                  </w:hyperlink>
                </w:p>
              </w:tc>
              <w:tc>
                <w:tcPr>
                  <w:vAlign w:val="top"/>
                </w:tcPr>
                <w:p>
                  <w:r>
                    <w:t xml:space="preserve">407496</w:t>
                  </w:r>
                </w:p>
              </w:tc>
              <w:tc>
                <w:tcPr>
                  <w:vAlign w:val="top"/>
                </w:tcPr>
                <w:p>
                  <w:r>
                    <w:t xml:space="preserve">String
[100]</w:t>
                  </w:r>
                </w:p>
              </w:tc>
              <w:tc>
                <w:tcPr>
                  <w:vAlign w:val="top"/>
                </w:tcPr>
                <w:p>
                  <w:r>
                    <w:t xml:space="preserve">XXX[X(97)]</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bcd4653baaec4252">
                    <w:r>
                      <w:rPr>
                        <w:rStyle w:val="Hyperlink"/>
                      </w:rPr>
                      <w:t xml:space="preserve">Residual expenditure (mental health service)—academic positions</w:t>
                    </w:r>
                  </w:hyperlink>
                </w:p>
              </w:tc>
              <w:tc>
                <w:tcPr>
                  <w:vAlign w:val="top"/>
                </w:tcPr>
                <w:p>
                  <w:r>
                    <w:t xml:space="preserve">290151</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8c2e41eec7274f4a">
                    <w:r>
                      <w:rPr>
                        <w:rStyle w:val="Hyperlink"/>
                      </w:rPr>
                      <w:t xml:space="preserve">Residual expenditure (mental health service)—education and training</w:t>
                    </w:r>
                  </w:hyperlink>
                </w:p>
              </w:tc>
              <w:tc>
                <w:tcPr>
                  <w:vAlign w:val="top"/>
                </w:tcPr>
                <w:p>
                  <w:r>
                    <w:t xml:space="preserve">290149</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afe05717041b4db1">
                    <w:r>
                      <w:rPr>
                        <w:rStyle w:val="Hyperlink"/>
                      </w:rPr>
                      <w:t xml:space="preserve">Residual expenditure (mental health service)—insurance</w:t>
                    </w:r>
                  </w:hyperlink>
                </w:p>
              </w:tc>
              <w:tc>
                <w:tcPr>
                  <w:vAlign w:val="top"/>
                </w:tcPr>
                <w:p>
                  <w:r>
                    <w:t xml:space="preserve">290164</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f112b46718774f8b">
                    <w:r>
                      <w:rPr>
                        <w:rStyle w:val="Hyperlink"/>
                      </w:rPr>
                      <w:t xml:space="preserve">Residual expenditure (mental health service)—Mental Health Act Regulation or related legislation</w:t>
                    </w:r>
                  </w:hyperlink>
                </w:p>
              </w:tc>
              <w:tc>
                <w:tcPr>
                  <w:vAlign w:val="top"/>
                </w:tcPr>
                <w:p>
                  <w:r>
                    <w:t xml:space="preserve">376828</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481f48dd1b484bd1">
                    <w:r>
                      <w:rPr>
                        <w:rStyle w:val="Hyperlink"/>
                      </w:rPr>
                      <w:t xml:space="preserve">Residual expenditure (mental health service)—mental health promotion</w:t>
                    </w:r>
                  </w:hyperlink>
                </w:p>
              </w:tc>
              <w:tc>
                <w:tcPr>
                  <w:vAlign w:val="top"/>
                </w:tcPr>
                <w:p>
                  <w:r>
                    <w:t xml:space="preserve">290156</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40f4c8e4a3184035">
                    <w:r>
                      <w:rPr>
                        <w:rStyle w:val="Hyperlink"/>
                      </w:rPr>
                      <w:t xml:space="preserve">Residual expenditure (mental health service)—mental health research</w:t>
                    </w:r>
                  </w:hyperlink>
                </w:p>
              </w:tc>
              <w:tc>
                <w:tcPr>
                  <w:vAlign w:val="top"/>
                </w:tcPr>
                <w:p>
                  <w:r>
                    <w:t xml:space="preserve">290153</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3f768de6ba414d8b">
                    <w:r>
                      <w:rPr>
                        <w:rStyle w:val="Hyperlink"/>
                      </w:rPr>
                      <w:t xml:space="preserve">Residual expenditure (mental health service)—other indirect expenditure</w:t>
                    </w:r>
                  </w:hyperlink>
                </w:p>
              </w:tc>
              <w:tc>
                <w:tcPr>
                  <w:vAlign w:val="top"/>
                </w:tcPr>
                <w:p>
                  <w:r>
                    <w:t xml:space="preserve">290187</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4ccdbd3419df4157">
                    <w:r>
                      <w:rPr>
                        <w:rStyle w:val="Hyperlink"/>
                      </w:rPr>
                      <w:t xml:space="preserve">Residual expenditure (mental health service)—patient transport services</w:t>
                    </w:r>
                  </w:hyperlink>
                </w:p>
              </w:tc>
              <w:tc>
                <w:tcPr>
                  <w:vAlign w:val="top"/>
                </w:tcPr>
                <w:p>
                  <w:r>
                    <w:t xml:space="preserve">290183</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8c1b57f565794377">
                    <w:r>
                      <w:rPr>
                        <w:rStyle w:val="Hyperlink"/>
                      </w:rPr>
                      <w:t xml:space="preserve">Residual expenditure (mental health service)—program administration</w:t>
                    </w:r>
                  </w:hyperlink>
                </w:p>
              </w:tc>
              <w:tc>
                <w:tcPr>
                  <w:vAlign w:val="top"/>
                </w:tcPr>
                <w:p>
                  <w:r>
                    <w:t xml:space="preserve">290145</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a15a9f65c4ed4485">
                    <w:r>
                      <w:rPr>
                        <w:rStyle w:val="Hyperlink"/>
                      </w:rPr>
                      <w:t xml:space="preserve">Residual expenditure (mental health service)—property leasing costs</w:t>
                    </w:r>
                  </w:hyperlink>
                </w:p>
              </w:tc>
              <w:tc>
                <w:tcPr>
                  <w:vAlign w:val="top"/>
                </w:tcPr>
                <w:p>
                  <w:r>
                    <w:t xml:space="preserve">290185</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7c25dc24c0cb4418">
                    <w:r>
                      <w:rPr>
                        <w:rStyle w:val="Hyperlink"/>
                      </w:rPr>
                      <w:t xml:space="preserve">Residual expenditure (mental health service)—service development</w:t>
                    </w:r>
                  </w:hyperlink>
                </w:p>
              </w:tc>
              <w:tc>
                <w:tcPr>
                  <w:vAlign w:val="top"/>
                </w:tcPr>
                <w:p>
                  <w:r>
                    <w:t xml:space="preserve">373040</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811b5c6cda024f2a">
                    <w:r>
                      <w:rPr>
                        <w:rStyle w:val="Hyperlink"/>
                      </w:rPr>
                      <w:t xml:space="preserve">Residual expenditure (mental health service)—superannuation</w:t>
                    </w:r>
                  </w:hyperlink>
                </w:p>
              </w:tc>
              <w:tc>
                <w:tcPr>
                  <w:vAlign w:val="top"/>
                </w:tcPr>
                <w:p>
                  <w:r>
                    <w:t xml:space="preserve">290158</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ca732cf17fb24e74">
                    <w:r>
                      <w:rPr>
                        <w:rStyle w:val="Hyperlink"/>
                      </w:rPr>
                      <w:t xml:space="preserve">Residual expenditure (mental health service)—support services</w:t>
                    </w:r>
                  </w:hyperlink>
                </w:p>
              </w:tc>
              <w:tc>
                <w:tcPr>
                  <w:vAlign w:val="top"/>
                </w:tcPr>
                <w:p>
                  <w:r>
                    <w:t xml:space="preserve">290147</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9ee1700e06fb437b">
                    <w:r>
                      <w:rPr>
                        <w:rStyle w:val="Hyperlink"/>
                      </w:rPr>
                      <w:t xml:space="preserve">Residual expenditure (mental health service)—workers compensation</w:t>
                    </w:r>
                  </w:hyperlink>
                </w:p>
              </w:tc>
              <w:tc>
                <w:tcPr>
                  <w:vAlign w:val="top"/>
                </w:tcPr>
                <w:p>
                  <w:r>
                    <w:t xml:space="preserve">290160</w:t>
                  </w:r>
                </w:p>
              </w:tc>
              <w:tc>
                <w:tcPr>
                  <w:vAlign w:val="top"/>
                </w:tcPr>
                <w:p>
                  <w:r>
                    <w:t xml:space="preserve">Currency
[9]</w:t>
                  </w:r>
                </w:p>
              </w:tc>
              <w:tc>
                <w:tcPr>
                  <w:vAlign w:val="top"/>
                </w:tcPr>
                <w:p>
                  <w:r>
                    <w:t xml:space="preserve">N[N(8)]</w:t>
                  </w:r>
                  <w:r>
                    <w:br/>
                  </w:r>
                </w:p>
                <w:p>
                  <w:r>
                    <w:t xml:space="preserve">Total number of Australian dollars.</w:t>
                  </w:r>
                </w:p>
              </w:tc>
            </w:tr>
            <w:tr>
              <w:trPr/>
              <w:tc>
                <w:tcPr>
                  <w:tcMar>
                    <w:right w:w="29" w:type="dxa"/>
                  </w:tcMar>
                  <w:vAlign w:val="top"/>
                </w:tcPr>
                <w:p>
                  <w:pPr>
                    <w:keepNext/>
                    <w:jc w:val="center"/>
                  </w:pPr>
                  <w:r>
                    <w:t xml:space="preserve">-</w:t>
                  </w:r>
                </w:p>
              </w:tc>
              <w:tc>
                <w:tcPr>
                  <w:tcMar/>
                  <w:vAlign w:val="top"/>
                </w:tcPr>
                <w:p>
                  <w:hyperlink w:history="true" r:id="R602cf2fc27a2407e">
                    <w:r>
                      <w:rPr>
                        <w:rStyle w:val="Hyperlink"/>
                      </w:rPr>
                      <w:t xml:space="preserve">Supported mental health housing places</w:t>
                    </w:r>
                  </w:hyperlink>
                </w:p>
              </w:tc>
              <w:tc>
                <w:tcPr>
                  <w:vAlign w:val="top"/>
                </w:tcPr>
                <w:p>
                  <w:r>
                    <w:t xml:space="preserve">390929</w:t>
                  </w:r>
                </w:p>
              </w:tc>
              <w:tc>
                <w:tcPr>
                  <w:vAlign w:val="top"/>
                </w:tcPr>
                <w:p>
                  <w:r>
                    <w:t xml:space="preserve">Number
[6]</w:t>
                  </w:r>
                </w:p>
              </w:tc>
              <w:tc>
                <w:tcPr>
                  <w:vAlign w:val="top"/>
                </w:tcPr>
                <w:p>
                  <w:r>
                    <w:t xml:space="preserve">NNNNNN</w:t>
                  </w:r>
                  <w:r>
                    <w:br/>
                  </w:r>
                  <w:r>
                    <w:t xml:space="preserve">The total number of housing places supported by specialised mental health services, targeted to people affected by mental illness or psychiatric disability.</w:t>
                  </w:r>
                </w:p>
              </w:tc>
            </w:tr>
            <w:tr>
              <w:trPr/>
              <w:tc>
                <w:tcPr>
                  <w:tcMar>
                    <w:right w:w="29" w:type="dxa"/>
                  </w:tcMar>
                  <w:vAlign w:val="top"/>
                </w:tcPr>
                <w:p>
                  <w:pPr>
                    <w:keepNext/>
                    <w:jc w:val="center"/>
                  </w:pPr>
                  <w:r>
                    <w:t xml:space="preserve">-</w:t>
                  </w:r>
                </w:p>
              </w:tc>
              <w:tc>
                <w:tcPr>
                  <w:tcMar/>
                  <w:vAlign w:val="top"/>
                </w:tcPr>
                <w:p>
                  <w:hyperlink w:history="true" r:id="R18f6cc3fd6da40dc">
                    <w:r>
                      <w:rPr>
                        <w:rStyle w:val="Hyperlink"/>
                      </w:rPr>
                      <w:t xml:space="preserve">Specialised mental health service target population</w:t>
                    </w:r>
                  </w:hyperlink>
                </w:p>
              </w:tc>
              <w:tc>
                <w:tcPr>
                  <w:vAlign w:val="top"/>
                </w:tcPr>
                <w:p>
                  <w:r>
                    <w:t xml:space="preserve">493010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Child and adolescent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Older person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Forensic</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General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Youth</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65a96dc1db64d6d">
                    <w:r>
                      <w:rPr>
                        <w:rStyle w:val="Hyperlink"/>
                      </w:rPr>
                      <w:t xml:space="preserve">Mental health services grants to non-government organisations by non-health departments</w:t>
                    </w:r>
                  </w:hyperlink>
                </w:p>
              </w:tc>
              <w:tc>
                <w:tcPr>
                  <w:vAlign w:val="top"/>
                </w:tcPr>
                <w:p>
                  <w:r>
                    <w:t xml:space="preserve">298940</w:t>
                  </w:r>
                </w:p>
              </w:tc>
              <w:tc>
                <w:tcPr>
                  <w:vAlign w:val="top"/>
                </w:tcPr>
                <w:p>
                  <w:r>
                    <w:t xml:space="preserve">Currency
[9]</w:t>
                  </w:r>
                </w:p>
              </w:tc>
              <w:tc>
                <w:tcPr>
                  <w:vAlign w:val="top"/>
                </w:tcPr>
                <w:p>
                  <w:r>
                    <w:t xml:space="preserve">N[N(8)]</w:t>
                  </w:r>
                  <w:r>
                    <w:br/>
                  </w:r>
                </w:p>
                <w:p>
                  <w:r>
                    <w:t xml:space="preserve">Total number of Australian dollars.</w:t>
                  </w:r>
                </w:p>
              </w:tc>
            </w:tr>
          </w:tbl>
          <w:p/>
        </w:tc>
      </w:tr>
    </w:tbl>
    <w:p>
      <w:r>
        <w:br/>
      </w:r>
    </w:p>
    <w:sectPr>
      <w:footerReference xmlns:r="http://schemas.openxmlformats.org/officeDocument/2006/relationships" w:type="default" r:id="R2f9b45e59416404a"/>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645723</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6ffc068fb54e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9b45e59416404a" /><Relationship Type="http://schemas.openxmlformats.org/officeDocument/2006/relationships/header" Target="/word/header1.xml" Id="R802c418a6190475d" /><Relationship Type="http://schemas.openxmlformats.org/officeDocument/2006/relationships/settings" Target="/word/settings.xml" Id="R02240ffb7f2a4276" /><Relationship Type="http://schemas.openxmlformats.org/officeDocument/2006/relationships/styles" Target="/word/styles.xml" Id="R3f65093a9c414ef2" /><Relationship Type="http://schemas.openxmlformats.org/officeDocument/2006/relationships/hyperlink" Target="https://meteor.aihw.gov.au/content/585981" TargetMode="External" Id="Rd873416e8fc54eee" /><Relationship Type="http://schemas.openxmlformats.org/officeDocument/2006/relationships/hyperlink" Target="https://meteor.aihw.gov.au/content/567363" TargetMode="External" Id="Red3cbe4e60ae4fd5" /><Relationship Type="http://schemas.openxmlformats.org/officeDocument/2006/relationships/hyperlink" Target="https://meteor.aihw.gov.au/content/567352" TargetMode="External" Id="R0e978c6bec4f4bf9" /><Relationship Type="http://schemas.openxmlformats.org/officeDocument/2006/relationships/hyperlink" Target="https://meteor.aihw.gov.au/content/659774" TargetMode="External" Id="Rbe79e17740d74a1b" /><Relationship Type="http://schemas.openxmlformats.org/officeDocument/2006/relationships/hyperlink" Target="https://meteor.aihw.gov.au/content/374151" TargetMode="External" Id="R9b2db534ec554cbf" /><Relationship Type="http://schemas.openxmlformats.org/officeDocument/2006/relationships/hyperlink" Target="https://meteor.aihw.gov.au/content/373650" TargetMode="External" Id="R852df283d8c24e41" /><Relationship Type="http://schemas.openxmlformats.org/officeDocument/2006/relationships/hyperlink" Target="https://meteor.aihw.gov.au/content/534013" TargetMode="External" Id="Rc569f2773ab844f3" /><Relationship Type="http://schemas.openxmlformats.org/officeDocument/2006/relationships/hyperlink" Target="https://meteor.aihw.gov.au/content/287979" TargetMode="External" Id="R4f009ed0fbb542be" /><Relationship Type="http://schemas.openxmlformats.org/officeDocument/2006/relationships/hyperlink" Target="https://meteor.aihw.gov.au/content/296577" TargetMode="External" Id="R924248d6c042454f" /><Relationship Type="http://schemas.openxmlformats.org/officeDocument/2006/relationships/hyperlink" Target="https://meteor.aihw.gov.au/content/286770" TargetMode="External" Id="R3f88a16deb6945f7" /><Relationship Type="http://schemas.openxmlformats.org/officeDocument/2006/relationships/hyperlink" Target="https://meteor.aihw.gov.au/content/269941" TargetMode="External" Id="R2eb67255f5fb4f5f" /><Relationship Type="http://schemas.openxmlformats.org/officeDocument/2006/relationships/hyperlink" Target="https://meteor.aihw.gov.au/content/270496" TargetMode="External" Id="R0eb5107ede6f427d" /><Relationship Type="http://schemas.openxmlformats.org/officeDocument/2006/relationships/hyperlink" Target="https://meteor.aihw.gov.au/content/287509" TargetMode="External" Id="R909953abefbf4abd" /><Relationship Type="http://schemas.openxmlformats.org/officeDocument/2006/relationships/hyperlink" Target="https://meteor.aihw.gov.au/content/270495" TargetMode="External" Id="Rc926a294c34c40df" /><Relationship Type="http://schemas.openxmlformats.org/officeDocument/2006/relationships/hyperlink" Target="https://meteor.aihw.gov.au/content/270498" TargetMode="External" Id="R8982c7c431e64bfd" /><Relationship Type="http://schemas.openxmlformats.org/officeDocument/2006/relationships/hyperlink" Target="https://meteor.aihw.gov.au/content/270497" TargetMode="External" Id="R501f570171df4faf" /><Relationship Type="http://schemas.openxmlformats.org/officeDocument/2006/relationships/hyperlink" Target="https://meteor.aihw.gov.au/content/450762" TargetMode="External" Id="R16667d8a1b034a42" /><Relationship Type="http://schemas.openxmlformats.org/officeDocument/2006/relationships/hyperlink" Target="https://meteor.aihw.gov.au/content/494044" TargetMode="External" Id="R27eba9e6cc0243ed" /><Relationship Type="http://schemas.openxmlformats.org/officeDocument/2006/relationships/hyperlink" Target="https://meteor.aihw.gov.au/content/450821" TargetMode="External" Id="Rb9d8c6b5dc524502" /><Relationship Type="http://schemas.openxmlformats.org/officeDocument/2006/relationships/hyperlink" Target="https://meteor.aihw.gov.au/content/426703" TargetMode="External" Id="R30f4c9b2468246c8" /><Relationship Type="http://schemas.openxmlformats.org/officeDocument/2006/relationships/hyperlink" Target="https://meteor.aihw.gov.au/content/287603" TargetMode="External" Id="R6455d0fef9e14c7d" /><Relationship Type="http://schemas.openxmlformats.org/officeDocument/2006/relationships/hyperlink" Target="https://meteor.aihw.gov.au/content/287611" TargetMode="External" Id="R38fe70e5b5c349d5" /><Relationship Type="http://schemas.openxmlformats.org/officeDocument/2006/relationships/hyperlink" Target="https://meteor.aihw.gov.au/content/287531" TargetMode="External" Id="R5e1544740f004f97" /><Relationship Type="http://schemas.openxmlformats.org/officeDocument/2006/relationships/hyperlink" Target="https://meteor.aihw.gov.au/content/270171" TargetMode="External" Id="R67c3dfb475af4439" /><Relationship Type="http://schemas.openxmlformats.org/officeDocument/2006/relationships/hyperlink" Target="https://meteor.aihw.gov.au/content/287529" TargetMode="External" Id="R78ba23fe620c4991" /><Relationship Type="http://schemas.openxmlformats.org/officeDocument/2006/relationships/hyperlink" Target="https://meteor.aihw.gov.au/content/287609" TargetMode="External" Id="Re6e1c26ca9614c97" /><Relationship Type="http://schemas.openxmlformats.org/officeDocument/2006/relationships/hyperlink" Target="https://meteor.aihw.gov.au/content/270500" TargetMode="External" Id="R19819ee5219f445a" /><Relationship Type="http://schemas.openxmlformats.org/officeDocument/2006/relationships/hyperlink" Target="https://meteor.aihw.gov.au/content/270494" TargetMode="External" Id="Rea39c3bf2ae14175" /><Relationship Type="http://schemas.openxmlformats.org/officeDocument/2006/relationships/hyperlink" Target="https://meteor.aihw.gov.au/content/287607" TargetMode="External" Id="R18832cc120004555" /><Relationship Type="http://schemas.openxmlformats.org/officeDocument/2006/relationships/hyperlink" Target="https://meteor.aihw.gov.au/content/584333" TargetMode="External" Id="R5e0d76de8b704fb0" /><Relationship Type="http://schemas.openxmlformats.org/officeDocument/2006/relationships/hyperlink" Target="https://meteor.aihw.gov.au/content/270407" TargetMode="External" Id="Ra840d0b5954b40c3" /><Relationship Type="http://schemas.openxmlformats.org/officeDocument/2006/relationships/hyperlink" Target="https://meteor.aihw.gov.au/content/270107" TargetMode="External" Id="R24dcf28bff434877" /><Relationship Type="http://schemas.openxmlformats.org/officeDocument/2006/relationships/hyperlink" Target="https://meteor.aihw.gov.au/content/377992" TargetMode="External" Id="R7e8538f406054ec9" /><Relationship Type="http://schemas.openxmlformats.org/officeDocument/2006/relationships/hyperlink" Target="https://meteor.aihw.gov.au/content/270279" TargetMode="External" Id="Re709e29262154315" /><Relationship Type="http://schemas.openxmlformats.org/officeDocument/2006/relationships/hyperlink" Target="https://meteor.aihw.gov.au/content/270283" TargetMode="External" Id="R40547fbc00d44c27" /><Relationship Type="http://schemas.openxmlformats.org/officeDocument/2006/relationships/hyperlink" Target="https://meteor.aihw.gov.au/content/270282" TargetMode="External" Id="Rd83fa6c85bb84bbe" /><Relationship Type="http://schemas.openxmlformats.org/officeDocument/2006/relationships/hyperlink" Target="https://meteor.aihw.gov.au/content/270284" TargetMode="External" Id="R7d0f2b1575f04b29" /><Relationship Type="http://schemas.openxmlformats.org/officeDocument/2006/relationships/hyperlink" Target="https://meteor.aihw.gov.au/content/270186" TargetMode="External" Id="Rd4b7100f413a4970" /><Relationship Type="http://schemas.openxmlformats.org/officeDocument/2006/relationships/hyperlink" Target="https://meteor.aihw.gov.au/content/270358" TargetMode="External" Id="R33648a44938040bf" /><Relationship Type="http://schemas.openxmlformats.org/officeDocument/2006/relationships/hyperlink" Target="https://meteor.aihw.gov.au/content/288031" TargetMode="External" Id="R6b33a1d6846946de" /><Relationship Type="http://schemas.openxmlformats.org/officeDocument/2006/relationships/hyperlink" Target="https://meteor.aihw.gov.au/content/290583" TargetMode="External" Id="Ra06e49de0edc49ad" /><Relationship Type="http://schemas.openxmlformats.org/officeDocument/2006/relationships/hyperlink" Target="https://meteor.aihw.gov.au/content/270126" TargetMode="External" Id="Rd315a4e7071a4403" /><Relationship Type="http://schemas.openxmlformats.org/officeDocument/2006/relationships/hyperlink" Target="https://meteor.aihw.gov.au/content/288071" TargetMode="External" Id="R3b1e02ded10049a6" /><Relationship Type="http://schemas.openxmlformats.org/officeDocument/2006/relationships/hyperlink" Target="https://meteor.aihw.gov.au/content/288075" TargetMode="External" Id="R43dd08ff917940d8" /><Relationship Type="http://schemas.openxmlformats.org/officeDocument/2006/relationships/hyperlink" Target="https://meteor.aihw.gov.au/content/270048" TargetMode="External" Id="R4fe0574a012c4658" /><Relationship Type="http://schemas.openxmlformats.org/officeDocument/2006/relationships/hyperlink" Target="https://meteor.aihw.gov.au/content/288685" TargetMode="External" Id="R0fa633f9b5094760" /><Relationship Type="http://schemas.openxmlformats.org/officeDocument/2006/relationships/hyperlink" Target="https://meteor.aihw.gov.au/content/269970" TargetMode="External" Id="Rfcbdb4312e594c75" /><Relationship Type="http://schemas.openxmlformats.org/officeDocument/2006/relationships/hyperlink" Target="https://meteor.aihw.gov.au/content/270275" TargetMode="External" Id="R66e75829417f437d" /><Relationship Type="http://schemas.openxmlformats.org/officeDocument/2006/relationships/hyperlink" Target="https://meteor.aihw.gov.au/content/288767" TargetMode="External" Id="R67894ba93acd44d8" /><Relationship Type="http://schemas.openxmlformats.org/officeDocument/2006/relationships/hyperlink" Target="https://meteor.aihw.gov.au/content/270276" TargetMode="External" Id="R746228cc42da4158" /><Relationship Type="http://schemas.openxmlformats.org/officeDocument/2006/relationships/hyperlink" Target="https://meteor.aihw.gov.au/content/270270" TargetMode="External" Id="R1d145dc17530460f" /><Relationship Type="http://schemas.openxmlformats.org/officeDocument/2006/relationships/hyperlink" Target="https://meteor.aihw.gov.au/content/451432" TargetMode="External" Id="R2e495aa2f7ba438e" /><Relationship Type="http://schemas.openxmlformats.org/officeDocument/2006/relationships/hyperlink" Target="https://meteor.aihw.gov.au/content/451428" TargetMode="External" Id="R57db8203b9a548e5" /><Relationship Type="http://schemas.openxmlformats.org/officeDocument/2006/relationships/hyperlink" Target="https://meteor.aihw.gov.au/content/288778" TargetMode="External" Id="Rc6a58fa217f44e7d" /><Relationship Type="http://schemas.openxmlformats.org/officeDocument/2006/relationships/hyperlink" Target="https://meteor.aihw.gov.au/content/288786" TargetMode="External" Id="R05e873bb75ea42c7" /><Relationship Type="http://schemas.openxmlformats.org/officeDocument/2006/relationships/hyperlink" Target="https://meteor.aihw.gov.au/content/288776" TargetMode="External" Id="R7ef9e1eb30a64c06" /><Relationship Type="http://schemas.openxmlformats.org/officeDocument/2006/relationships/hyperlink" Target="https://meteor.aihw.gov.au/content/270273" TargetMode="External" Id="R5963d2aea48f4477" /><Relationship Type="http://schemas.openxmlformats.org/officeDocument/2006/relationships/hyperlink" Target="https://meteor.aihw.gov.au/content/288774" TargetMode="External" Id="Rd0ad49d4a2784a70" /><Relationship Type="http://schemas.openxmlformats.org/officeDocument/2006/relationships/hyperlink" Target="https://meteor.aihw.gov.au/content/288784" TargetMode="External" Id="Rae77eec524d744e2" /><Relationship Type="http://schemas.openxmlformats.org/officeDocument/2006/relationships/hyperlink" Target="https://meteor.aihw.gov.au/content/270269" TargetMode="External" Id="Rf0d14d9007ec442c" /><Relationship Type="http://schemas.openxmlformats.org/officeDocument/2006/relationships/hyperlink" Target="https://meteor.aihw.gov.au/content/288780" TargetMode="External" Id="Ra6e5d3870c2549d1" /><Relationship Type="http://schemas.openxmlformats.org/officeDocument/2006/relationships/hyperlink" Target="https://meteor.aihw.gov.au/content/288965" TargetMode="External" Id="R232da477f71d42d1" /><Relationship Type="http://schemas.openxmlformats.org/officeDocument/2006/relationships/hyperlink" Target="https://meteor.aihw.gov.au/content/270371" TargetMode="External" Id="Rd69f9946bd0e4ad1" /><Relationship Type="http://schemas.openxmlformats.org/officeDocument/2006/relationships/hyperlink" Target="https://meteor.aihw.gov.au/content/270049" TargetMode="External" Id="R29910951b3a14029" /><Relationship Type="http://schemas.openxmlformats.org/officeDocument/2006/relationships/hyperlink" Target="https://meteor.aihw.gov.au/content/269940" TargetMode="External" Id="R7fe746ddda0c4698" /><Relationship Type="http://schemas.openxmlformats.org/officeDocument/2006/relationships/hyperlink" Target="https://meteor.aihw.gov.au/content/407187" TargetMode="External" Id="R0a41a2a5e5f74d66" /><Relationship Type="http://schemas.openxmlformats.org/officeDocument/2006/relationships/hyperlink" Target="https://meteor.aihw.gov.au/content/269977" TargetMode="External" Id="R3286e35dbd0c4654" /><Relationship Type="http://schemas.openxmlformats.org/officeDocument/2006/relationships/hyperlink" Target="https://meteor.aihw.gov.au/content/404858" TargetMode="External" Id="Rcfd987c07e1f4cd2" /><Relationship Type="http://schemas.openxmlformats.org/officeDocument/2006/relationships/hyperlink" Target="https://meteor.aihw.gov.au/content/409209" TargetMode="External" Id="R28e243c6b8724f57" /><Relationship Type="http://schemas.openxmlformats.org/officeDocument/2006/relationships/hyperlink" Target="https://meteor.aihw.gov.au/content/404239" TargetMode="External" Id="R56d5ccf8e64c46b8" /><Relationship Type="http://schemas.openxmlformats.org/officeDocument/2006/relationships/hyperlink" Target="https://meteor.aihw.gov.au/content/407430" TargetMode="External" Id="Re607d056536e4228" /><Relationship Type="http://schemas.openxmlformats.org/officeDocument/2006/relationships/hyperlink" Target="https://meteor.aihw.gov.au/content/567363" TargetMode="External" Id="Rd30d56a9fd114eee" /><Relationship Type="http://schemas.openxmlformats.org/officeDocument/2006/relationships/hyperlink" Target="https://meteor.aihw.gov.au/content/567352" TargetMode="External" Id="Rd6374549459f460d" /><Relationship Type="http://schemas.openxmlformats.org/officeDocument/2006/relationships/hyperlink" Target="https://meteor.aihw.gov.au/content/529383" TargetMode="External" Id="Rffb8f67e62c34ab2" /><Relationship Type="http://schemas.openxmlformats.org/officeDocument/2006/relationships/hyperlink" Target="https://meteor.aihw.gov.au/content/288855" TargetMode="External" Id="R11bdf7c212e84c0f" /><Relationship Type="http://schemas.openxmlformats.org/officeDocument/2006/relationships/hyperlink" Target="https://meteor.aihw.gov.au/content/529103" TargetMode="External" Id="R830c82dbb5e94c13" /><Relationship Type="http://schemas.openxmlformats.org/officeDocument/2006/relationships/hyperlink" Target="https://meteor.aihw.gov.au/content/404186" TargetMode="External" Id="R40a8593172954f37" /><Relationship Type="http://schemas.openxmlformats.org/officeDocument/2006/relationships/hyperlink" Target="https://meteor.aihw.gov.au/content/405767" TargetMode="External" Id="Rbf0b09561a974737" /><Relationship Type="http://schemas.openxmlformats.org/officeDocument/2006/relationships/hyperlink" Target="https://meteor.aihw.gov.au/content/493347" TargetMode="External" Id="R9bbb238ddf514202" /><Relationship Type="http://schemas.openxmlformats.org/officeDocument/2006/relationships/hyperlink" Target="https://meteor.aihw.gov.au/content/564666" TargetMode="External" Id="Re1e07ec318c54264" /><Relationship Type="http://schemas.openxmlformats.org/officeDocument/2006/relationships/hyperlink" Target="https://meteor.aihw.gov.au/content/564674" TargetMode="External" Id="Rf93d70c9c67e428f" /><Relationship Type="http://schemas.openxmlformats.org/officeDocument/2006/relationships/hyperlink" Target="https://meteor.aihw.gov.au/content/529235" TargetMode="External" Id="R0589bee226564ba5" /><Relationship Type="http://schemas.openxmlformats.org/officeDocument/2006/relationships/hyperlink" Target="https://meteor.aihw.gov.au/content/529185" TargetMode="External" Id="Re951ffd10ac1458c" /><Relationship Type="http://schemas.openxmlformats.org/officeDocument/2006/relationships/hyperlink" Target="https://meteor.aihw.gov.au/content/529231" TargetMode="External" Id="Ra7d0e18b746e4b5d" /><Relationship Type="http://schemas.openxmlformats.org/officeDocument/2006/relationships/hyperlink" Target="https://meteor.aihw.gov.au/content/529170" TargetMode="External" Id="Rbc201d189a2d40b9" /><Relationship Type="http://schemas.openxmlformats.org/officeDocument/2006/relationships/hyperlink" Target="https://meteor.aihw.gov.au/content/529237" TargetMode="External" Id="R6e1baf47ed3d45aa" /><Relationship Type="http://schemas.openxmlformats.org/officeDocument/2006/relationships/hyperlink" Target="https://meteor.aihw.gov.au/content/529224" TargetMode="External" Id="Rcdfdca83920b4f57" /><Relationship Type="http://schemas.openxmlformats.org/officeDocument/2006/relationships/hyperlink" Target="https://meteor.aihw.gov.au/content/573549" TargetMode="External" Id="R52c43d132e154664" /><Relationship Type="http://schemas.openxmlformats.org/officeDocument/2006/relationships/hyperlink" Target="https://meteor.aihw.gov.au/content/288889" TargetMode="External" Id="Rb564a2b00a674e30" /><Relationship Type="http://schemas.openxmlformats.org/officeDocument/2006/relationships/hyperlink" Target="https://meteor.aihw.gov.au/content/404390" TargetMode="External" Id="R5fcea5871593460b" /><Relationship Type="http://schemas.openxmlformats.org/officeDocument/2006/relationships/hyperlink" Target="https://meteor.aihw.gov.au/content/407462" TargetMode="External" Id="R29e092845dd14c10" /><Relationship Type="http://schemas.openxmlformats.org/officeDocument/2006/relationships/hyperlink" Target="https://meteor.aihw.gov.au/content/404829" TargetMode="External" Id="R07a64385ddce44a7" /><Relationship Type="http://schemas.openxmlformats.org/officeDocument/2006/relationships/hyperlink" Target="https://meteor.aihw.gov.au/content/409038" TargetMode="External" Id="Rd2521048f23d41b2" /><Relationship Type="http://schemas.openxmlformats.org/officeDocument/2006/relationships/hyperlink" Target="https://meteor.aihw.gov.au/content/286995" TargetMode="External" Id="Rb8b5a5a2f2d94a4a" /><Relationship Type="http://schemas.openxmlformats.org/officeDocument/2006/relationships/hyperlink" Target="https://meteor.aihw.gov.au/content/378745" TargetMode="External" Id="R2556ff162eb240fe" /><Relationship Type="http://schemas.openxmlformats.org/officeDocument/2006/relationships/hyperlink" Target="https://meteor.aihw.gov.au/content/494391" TargetMode="External" Id="Rf2c4cf8173624b76" /><Relationship Type="http://schemas.openxmlformats.org/officeDocument/2006/relationships/hyperlink" Target="https://meteor.aihw.gov.au/content/288877" TargetMode="External" Id="R5690a0e204aa479f" /><Relationship Type="http://schemas.openxmlformats.org/officeDocument/2006/relationships/hyperlink" Target="https://meteor.aihw.gov.au/content/494401" TargetMode="External" Id="Re6e0da0b37394f37" /><Relationship Type="http://schemas.openxmlformats.org/officeDocument/2006/relationships/hyperlink" Target="https://meteor.aihw.gov.au/content/404837" TargetMode="External" Id="R567511d36a4f4a06" /><Relationship Type="http://schemas.openxmlformats.org/officeDocument/2006/relationships/hyperlink" Target="https://meteor.aihw.gov.au/content/407496" TargetMode="External" Id="R8bdc87c3975a4ba8" /><Relationship Type="http://schemas.openxmlformats.org/officeDocument/2006/relationships/hyperlink" Target="https://meteor.aihw.gov.au/content/290151" TargetMode="External" Id="Rbcd4653baaec4252" /><Relationship Type="http://schemas.openxmlformats.org/officeDocument/2006/relationships/hyperlink" Target="https://meteor.aihw.gov.au/content/290149" TargetMode="External" Id="R8c2e41eec7274f4a" /><Relationship Type="http://schemas.openxmlformats.org/officeDocument/2006/relationships/hyperlink" Target="https://meteor.aihw.gov.au/content/290164" TargetMode="External" Id="Rafe05717041b4db1" /><Relationship Type="http://schemas.openxmlformats.org/officeDocument/2006/relationships/hyperlink" Target="https://meteor.aihw.gov.au/content/376828" TargetMode="External" Id="Rf112b46718774f8b" /><Relationship Type="http://schemas.openxmlformats.org/officeDocument/2006/relationships/hyperlink" Target="https://meteor.aihw.gov.au/content/290156" TargetMode="External" Id="R481f48dd1b484bd1" /><Relationship Type="http://schemas.openxmlformats.org/officeDocument/2006/relationships/hyperlink" Target="https://meteor.aihw.gov.au/content/290153" TargetMode="External" Id="R40f4c8e4a3184035" /><Relationship Type="http://schemas.openxmlformats.org/officeDocument/2006/relationships/hyperlink" Target="https://meteor.aihw.gov.au/content/290187" TargetMode="External" Id="R3f768de6ba414d8b" /><Relationship Type="http://schemas.openxmlformats.org/officeDocument/2006/relationships/hyperlink" Target="https://meteor.aihw.gov.au/content/290183" TargetMode="External" Id="R4ccdbd3419df4157" /><Relationship Type="http://schemas.openxmlformats.org/officeDocument/2006/relationships/hyperlink" Target="https://meteor.aihw.gov.au/content/290145" TargetMode="External" Id="R8c1b57f565794377" /><Relationship Type="http://schemas.openxmlformats.org/officeDocument/2006/relationships/hyperlink" Target="https://meteor.aihw.gov.au/content/290185" TargetMode="External" Id="Ra15a9f65c4ed4485" /><Relationship Type="http://schemas.openxmlformats.org/officeDocument/2006/relationships/hyperlink" Target="https://meteor.aihw.gov.au/content/373040" TargetMode="External" Id="R7c25dc24c0cb4418" /><Relationship Type="http://schemas.openxmlformats.org/officeDocument/2006/relationships/hyperlink" Target="https://meteor.aihw.gov.au/content/290158" TargetMode="External" Id="R811b5c6cda024f2a" /><Relationship Type="http://schemas.openxmlformats.org/officeDocument/2006/relationships/hyperlink" Target="https://meteor.aihw.gov.au/content/290147" TargetMode="External" Id="Rca732cf17fb24e74" /><Relationship Type="http://schemas.openxmlformats.org/officeDocument/2006/relationships/hyperlink" Target="https://meteor.aihw.gov.au/content/290160" TargetMode="External" Id="R9ee1700e06fb437b" /><Relationship Type="http://schemas.openxmlformats.org/officeDocument/2006/relationships/hyperlink" Target="https://meteor.aihw.gov.au/content/390929" TargetMode="External" Id="R602cf2fc27a2407e" /><Relationship Type="http://schemas.openxmlformats.org/officeDocument/2006/relationships/hyperlink" Target="https://meteor.aihw.gov.au/content/493010" TargetMode="External" Id="R18f6cc3fd6da40dc" /><Relationship Type="http://schemas.openxmlformats.org/officeDocument/2006/relationships/hyperlink" Target="https://meteor.aihw.gov.au/content/298940" TargetMode="External" Id="Rb65a96dc1db64d6d" /></Relationships>
</file>

<file path=word/_rels/header1.xml.rels>&#65279;<?xml version="1.0" encoding="utf-8"?><Relationships xmlns="http://schemas.openxmlformats.org/package/2006/relationships"><Relationship Type="http://schemas.openxmlformats.org/officeDocument/2006/relationships/image" Target="/media/image.png" Id="R436ffc068fb54ece" /></Relationships>
</file>