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334055e44f64ed5" /></Relationships>
</file>

<file path=word/document.xml><?xml version="1.0" encoding="utf-8"?>
<w:document xmlns:r="http://schemas.openxmlformats.org/officeDocument/2006/relationships" xmlns:w="http://schemas.openxmlformats.org/wordprocessingml/2006/main">
  <w:body>
    <w:p>
      <w:pPr>
        <w:pStyle w:val="Title"/>
      </w:pPr>
      <w:r>
        <w:t>Residential mental health care NMDS 2017–18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Residential mental health care NMDS 2017–18</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821d343e143e4970">
                    <w:r>
                      <w:rPr>
                        <w:rStyle w:val="Hyperlink"/>
                      </w:rPr>
                      <w:t xml:space="preserve">Additional diagnosis</w:t>
                    </w:r>
                  </w:hyperlink>
                </w:p>
              </w:tc>
              <w:tc>
                <w:tcPr>
                  <w:vAlign w:val="top"/>
                </w:tcPr>
                <w:p>
                  <w:r>
                    <w:t xml:space="preserve">641014</w:t>
                  </w:r>
                </w:p>
              </w:tc>
              <w:tc>
                <w:tcPr>
                  <w:vAlign w:val="top"/>
                </w:tcPr>
                <w:p>
                  <w:r>
                    <w:t xml:space="preserve">String
[6]</w:t>
                  </w:r>
                </w:p>
              </w:tc>
              <w:tc>
                <w:tcPr>
                  <w:vAlign w:val="top"/>
                </w:tcPr>
                <w:p>
                  <w:r>
                    <w:t xml:space="preserve">ANN{.N[N]}</w:t>
                  </w:r>
                  <w:r>
                    <w:br/>
                  </w:r>
                </w:p>
                <w:p>
                  <w:r>
                    <w:t xml:space="preserve">The ICD-10-AM (10th edition) code set representing diagnoses.</w:t>
                  </w:r>
                </w:p>
              </w:tc>
            </w:tr>
            <w:tr>
              <w:trPr/>
              <w:tc>
                <w:tcPr>
                  <w:tcMar>
                    <w:right w:w="29" w:type="dxa"/>
                  </w:tcMar>
                  <w:vAlign w:val="top"/>
                </w:tcPr>
                <w:p>
                  <w:pPr>
                    <w:keepNext/>
                    <w:jc w:val="center"/>
                  </w:pPr>
                  <w:r>
                    <w:t xml:space="preserve">-</w:t>
                  </w:r>
                </w:p>
              </w:tc>
              <w:tc>
                <w:tcPr>
                  <w:tcMar/>
                  <w:vAlign w:val="top"/>
                </w:tcPr>
                <w:p>
                  <w:hyperlink w:history="true" r:id="Rbe067919f8db445f">
                    <w:r>
                      <w:rPr>
                        <w:rStyle w:val="Hyperlink"/>
                      </w:rPr>
                      <w:t xml:space="preserve">Mental health legal status</w:t>
                    </w:r>
                  </w:hyperlink>
                </w:p>
              </w:tc>
              <w:tc>
                <w:tcPr>
                  <w:vAlign w:val="top"/>
                </w:tcPr>
                <w:p>
                  <w:r>
                    <w:t xml:space="preserve">534063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Involuntary patient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Voluntary patient</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reported/unknown</w:t>
                        </w:r>
                      </w:p>
                    </w:tc>
                  </w:tr>
                </w:tbl>
                <w:p/>
              </w:tc>
            </w:tr>
            <w:tr>
              <w:trPr/>
              <w:tc>
                <w:tcPr>
                  <w:tcMar>
                    <w:right w:w="29" w:type="dxa"/>
                  </w:tcMar>
                  <w:vAlign w:val="top"/>
                </w:tcPr>
                <w:p>
                  <w:pPr>
                    <w:keepNext/>
                    <w:jc w:val="center"/>
                  </w:pPr>
                  <w:r>
                    <w:t xml:space="preserve">-</w:t>
                  </w:r>
                </w:p>
              </w:tc>
              <w:tc>
                <w:tcPr>
                  <w:tcMar/>
                  <w:vAlign w:val="top"/>
                </w:tcPr>
                <w:p>
                  <w:hyperlink w:history="true" r:id="R784ace2b62554fb0">
                    <w:r>
                      <w:rPr>
                        <w:rStyle w:val="Hyperlink"/>
                      </w:rPr>
                      <w:t xml:space="preserve">Principal diagnosis</w:t>
                    </w:r>
                  </w:hyperlink>
                </w:p>
              </w:tc>
              <w:tc>
                <w:tcPr>
                  <w:vAlign w:val="top"/>
                </w:tcPr>
                <w:p>
                  <w:r>
                    <w:t xml:space="preserve">640978</w:t>
                  </w:r>
                </w:p>
              </w:tc>
              <w:tc>
                <w:tcPr>
                  <w:vAlign w:val="top"/>
                </w:tcPr>
                <w:p>
                  <w:r>
                    <w:t xml:space="preserve">String
[6]</w:t>
                  </w:r>
                </w:p>
              </w:tc>
              <w:tc>
                <w:tcPr>
                  <w:vAlign w:val="top"/>
                </w:tcPr>
                <w:p>
                  <w:r>
                    <w:t xml:space="preserve">ANN{.N[N]}</w:t>
                  </w:r>
                  <w:r>
                    <w:br/>
                  </w:r>
                </w:p>
                <w:p>
                  <w:r>
                    <w:t xml:space="preserve">The ICD-10-AM (10th edition) code set representing diagnoses.</w:t>
                  </w:r>
                </w:p>
              </w:tc>
            </w:tr>
            <w:tr>
              <w:trPr/>
              <w:tc>
                <w:tcPr>
                  <w:tcMar>
                    <w:right w:w="29" w:type="dxa"/>
                  </w:tcMar>
                  <w:vAlign w:val="top"/>
                </w:tcPr>
                <w:p>
                  <w:pPr>
                    <w:keepNext/>
                    <w:jc w:val="center"/>
                  </w:pPr>
                  <w:r>
                    <w:t xml:space="preserve">-</w:t>
                  </w:r>
                </w:p>
              </w:tc>
              <w:tc>
                <w:tcPr>
                  <w:tcMar/>
                  <w:vAlign w:val="top"/>
                </w:tcPr>
                <w:p>
                  <w:hyperlink w:history="true" r:id="Rae377e8dd53a4d5a">
                    <w:r>
                      <w:rPr>
                        <w:rStyle w:val="Hyperlink"/>
                      </w:rPr>
                      <w:t xml:space="preserve">Episode of residential care end date</w:t>
                    </w:r>
                  </w:hyperlink>
                </w:p>
              </w:tc>
              <w:tc>
                <w:tcPr>
                  <w:vAlign w:val="top"/>
                </w:tcPr>
                <w:p>
                  <w:r>
                    <w:t xml:space="preserve">534037</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w:t>
                  </w:r>
                </w:p>
              </w:tc>
              <w:tc>
                <w:tcPr>
                  <w:tcMar/>
                  <w:vAlign w:val="top"/>
                </w:tcPr>
                <w:p>
                  <w:hyperlink w:history="true" r:id="Rc8dd557f880e4202">
                    <w:r>
                      <w:rPr>
                        <w:rStyle w:val="Hyperlink"/>
                      </w:rPr>
                      <w:t xml:space="preserve">Episode of residential care end mode</w:t>
                    </w:r>
                  </w:hyperlink>
                </w:p>
              </w:tc>
              <w:tc>
                <w:tcPr>
                  <w:vAlign w:val="top"/>
                </w:tcPr>
                <w:p>
                  <w:r>
                    <w:t xml:space="preserve">524966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Died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Left against clinical advice / at own risk</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Did not return from leave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Formal discharge from residential care at this establishment</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End of reference period</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Return to other residential mental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377e5e08404c4cea">
                    <w:r>
                      <w:rPr>
                        <w:rStyle w:val="Hyperlink"/>
                      </w:rPr>
                      <w:t xml:space="preserve">Episode of residential care start date</w:t>
                    </w:r>
                  </w:hyperlink>
                </w:p>
              </w:tc>
              <w:tc>
                <w:tcPr>
                  <w:vAlign w:val="top"/>
                </w:tcPr>
                <w:p>
                  <w:r>
                    <w:t xml:space="preserve">534048</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w:t>
                  </w:r>
                </w:p>
              </w:tc>
              <w:tc>
                <w:tcPr>
                  <w:tcMar/>
                  <w:vAlign w:val="top"/>
                </w:tcPr>
                <w:p>
                  <w:hyperlink w:history="true" r:id="Rd2d193ff2f15408f">
                    <w:r>
                      <w:rPr>
                        <w:rStyle w:val="Hyperlink"/>
                      </w:rPr>
                      <w:t xml:space="preserve">Episode of residential care start mode</w:t>
                    </w:r>
                  </w:hyperlink>
                </w:p>
              </w:tc>
              <w:tc>
                <w:tcPr>
                  <w:vAlign w:val="top"/>
                </w:tcPr>
                <w:p>
                  <w:r>
                    <w:t xml:space="preserve">525026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Start of a new residential stay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Start of a new reference period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Start of expected short concurrent residential stay (on leave from other residential mental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2e015554598a4a69">
                    <w:r>
                      <w:rPr>
                        <w:rStyle w:val="Hyperlink"/>
                      </w:rPr>
                      <w:t xml:space="preserve">Mental health care referral destination</w:t>
                    </w:r>
                  </w:hyperlink>
                </w:p>
              </w:tc>
              <w:tc>
                <w:tcPr>
                  <w:vAlign w:val="top"/>
                </w:tcPr>
                <w:p>
                  <w:r>
                    <w:t xml:space="preserve">564573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Specialised mental health admitted patient care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Specialised mental health residential care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Specialised mental health ambulatory care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Private psychiatrist care</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General practitioner care</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Other care</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referred</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Not applicable (i.e. end of reference period or died)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9b5f83c100a24d0d">
                    <w:r>
                      <w:rPr>
                        <w:rStyle w:val="Hyperlink"/>
                      </w:rPr>
                      <w:t xml:space="preserve">Leave days from residential care</w:t>
                    </w:r>
                  </w:hyperlink>
                </w:p>
              </w:tc>
              <w:tc>
                <w:tcPr>
                  <w:vAlign w:val="top"/>
                </w:tcPr>
                <w:p>
                  <w:r>
                    <w:t xml:space="preserve">534017</w:t>
                  </w:r>
                </w:p>
              </w:tc>
              <w:tc>
                <w:tcPr>
                  <w:vAlign w:val="top"/>
                </w:tcPr>
                <w:p>
                  <w:r>
                    <w:t xml:space="preserve">Number
[3]</w:t>
                  </w:r>
                </w:p>
              </w:tc>
              <w:tc>
                <w:tcPr>
                  <w:vAlign w:val="top"/>
                </w:tcPr>
                <w:p>
                  <w:r>
                    <w:t xml:space="preserve">N[NN]</w:t>
                  </w:r>
                  <w:r>
                    <w:br/>
                  </w:r>
                  <w:r>
                    <w:t xml:space="preserve">Total number of days.</w:t>
                  </w:r>
                </w:p>
              </w:tc>
            </w:tr>
            <w:tr>
              <w:trPr/>
              <w:tc>
                <w:tcPr>
                  <w:tcMar>
                    <w:right w:w="29" w:type="dxa"/>
                  </w:tcMar>
                  <w:vAlign w:val="top"/>
                </w:tcPr>
                <w:p>
                  <w:pPr>
                    <w:keepNext/>
                    <w:jc w:val="center"/>
                  </w:pPr>
                  <w:r>
                    <w:t xml:space="preserve">-</w:t>
                  </w:r>
                </w:p>
              </w:tc>
              <w:tc>
                <w:tcPr>
                  <w:tcMar/>
                  <w:vAlign w:val="top"/>
                </w:tcPr>
                <w:p>
                  <w:hyperlink w:history="true" r:id="R56ca73f5456949f3">
                    <w:r>
                      <w:rPr>
                        <w:rStyle w:val="Hyperlink"/>
                      </w:rPr>
                      <w:t xml:space="preserve">Australian State/Territory identifier (establishment)</w:t>
                    </w:r>
                  </w:hyperlink>
                </w:p>
              </w:tc>
              <w:tc>
                <w:tcPr>
                  <w:vAlign w:val="top"/>
                </w:tcPr>
                <w:p>
                  <w:r>
                    <w:t xml:space="preserve">269941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w:t>
                  </w:r>
                </w:p>
              </w:tc>
              <w:tc>
                <w:tcPr>
                  <w:tcMar/>
                  <w:vAlign w:val="top"/>
                </w:tcPr>
                <w:p>
                  <w:hyperlink w:history="true" r:id="R8cc66e84afcc48bc">
                    <w:r>
                      <w:rPr>
                        <w:rStyle w:val="Hyperlink"/>
                      </w:rPr>
                      <w:t xml:space="preserve">Region code</w:t>
                    </w:r>
                  </w:hyperlink>
                </w:p>
              </w:tc>
              <w:tc>
                <w:tcPr>
                  <w:vAlign w:val="top"/>
                </w:tcPr>
                <w:p>
                  <w:r>
                    <w:t xml:space="preserve">269940</w:t>
                  </w:r>
                </w:p>
              </w:tc>
              <w:tc>
                <w:tcPr>
                  <w:vAlign w:val="top"/>
                </w:tcPr>
                <w:p>
                  <w:r>
                    <w:t xml:space="preserve">String
[2]</w:t>
                  </w:r>
                </w:p>
              </w:tc>
              <w:tc>
                <w:tcPr>
                  <w:vAlign w:val="top"/>
                </w:tcPr>
                <w:p>
                  <w:r>
                    <w:t xml:space="preserve">X[X]</w:t>
                  </w:r>
                  <w:r>
                    <w:br/>
                  </w:r>
                  <w:r>
                    <w:t xml:space="preserve">A combination of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46cb716667f94d76">
                    <w:r>
                      <w:rPr>
                        <w:rStyle w:val="Hyperlink"/>
                      </w:rPr>
                      <w:t xml:space="preserve">Region name</w:t>
                    </w:r>
                  </w:hyperlink>
                </w:p>
              </w:tc>
              <w:tc>
                <w:tcPr>
                  <w:vAlign w:val="top"/>
                </w:tcPr>
                <w:p>
                  <w:r>
                    <w:t xml:space="preserve">407187</w:t>
                  </w:r>
                </w:p>
              </w:tc>
              <w:tc>
                <w:tcPr>
                  <w:vAlign w:val="top"/>
                </w:tcPr>
                <w:p>
                  <w:r>
                    <w:t xml:space="preserve">String
[60]</w:t>
                  </w:r>
                </w:p>
              </w:tc>
              <w:tc>
                <w:tcPr>
                  <w:vAlign w:val="top"/>
                </w:tcPr>
                <w:p>
                  <w:r>
                    <w:t xml:space="preserve">XXX[X(57)]</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2ebacf2b850849b8">
                    <w:r>
                      <w:rPr>
                        <w:rStyle w:val="Hyperlink"/>
                      </w:rPr>
                      <w:t xml:space="preserve">Establishment sector</w:t>
                    </w:r>
                  </w:hyperlink>
                </w:p>
              </w:tc>
              <w:tc>
                <w:tcPr>
                  <w:vAlign w:val="top"/>
                </w:tcPr>
                <w:p>
                  <w:r>
                    <w:t xml:space="preserve">269977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Public</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Private</w:t>
                        </w:r>
                      </w:p>
                    </w:tc>
                  </w:tr>
                </w:tbl>
                <w:p/>
              </w:tc>
            </w:tr>
            <w:tr>
              <w:trPr/>
              <w:tc>
                <w:tcPr>
                  <w:tcMar>
                    <w:right w:w="29" w:type="dxa"/>
                  </w:tcMar>
                  <w:vAlign w:val="top"/>
                </w:tcPr>
                <w:p>
                  <w:pPr>
                    <w:keepNext/>
                    <w:jc w:val="center"/>
                  </w:pPr>
                  <w:r>
                    <w:t xml:space="preserve">-</w:t>
                  </w:r>
                </w:p>
              </w:tc>
              <w:tc>
                <w:tcPr>
                  <w:tcMar/>
                  <w:vAlign w:val="top"/>
                </w:tcPr>
                <w:p>
                  <w:hyperlink w:history="true" r:id="R2f64b165b2dd445b">
                    <w:r>
                      <w:rPr>
                        <w:rStyle w:val="Hyperlink"/>
                      </w:rPr>
                      <w:t xml:space="preserve">Service unit cluster identifier</w:t>
                    </w:r>
                  </w:hyperlink>
                </w:p>
              </w:tc>
              <w:tc>
                <w:tcPr>
                  <w:vAlign w:val="top"/>
                </w:tcPr>
                <w:p>
                  <w:r>
                    <w:t xml:space="preserve">404858</w:t>
                  </w:r>
                </w:p>
              </w:tc>
              <w:tc>
                <w:tcPr>
                  <w:vAlign w:val="top"/>
                </w:tcPr>
                <w:p>
                  <w:r>
                    <w:t xml:space="preserve">String
[5]</w:t>
                  </w:r>
                </w:p>
              </w:tc>
              <w:tc>
                <w:tcPr>
                  <w:vAlign w:val="top"/>
                </w:tcPr>
                <w:p>
                  <w:r>
                    <w:t xml:space="preserve">XXXXX</w:t>
                  </w:r>
                  <w:r>
                    <w:br/>
                  </w:r>
                  <w:r>
                    <w:t xml:space="preserve">A combination of numeric and/or alphabetic characters that identify an entity.</w:t>
                  </w:r>
                </w:p>
              </w:tc>
            </w:tr>
            <w:tr>
              <w:trPr/>
              <w:tc>
                <w:tcPr>
                  <w:tcMar>
                    <w:right w:w="29" w:type="dxa"/>
                  </w:tcMar>
                  <w:vAlign w:val="top"/>
                </w:tcPr>
                <w:p>
                  <w:pPr>
                    <w:keepNext/>
                    <w:jc w:val="center"/>
                  </w:pPr>
                  <w:r>
                    <w:t xml:space="preserve">-</w:t>
                  </w:r>
                </w:p>
              </w:tc>
              <w:tc>
                <w:tcPr>
                  <w:tcMar/>
                  <w:vAlign w:val="top"/>
                </w:tcPr>
                <w:p>
                  <w:hyperlink w:history="true" r:id="Reffea94304bf4eb1">
                    <w:r>
                      <w:rPr>
                        <w:rStyle w:val="Hyperlink"/>
                      </w:rPr>
                      <w:t xml:space="preserve">Service unit cluster name</w:t>
                    </w:r>
                  </w:hyperlink>
                </w:p>
              </w:tc>
              <w:tc>
                <w:tcPr>
                  <w:vAlign w:val="top"/>
                </w:tcPr>
                <w:p>
                  <w:r>
                    <w:t xml:space="preserve">409209</w:t>
                  </w:r>
                </w:p>
              </w:tc>
              <w:tc>
                <w:tcPr>
                  <w:vAlign w:val="top"/>
                </w:tcPr>
                <w:p>
                  <w:r>
                    <w:t xml:space="preserve">String
[100]</w:t>
                  </w:r>
                </w:p>
              </w:tc>
              <w:tc>
                <w:tcPr>
                  <w:vAlign w:val="top"/>
                </w:tcPr>
                <w:p>
                  <w:r>
                    <w:t xml:space="preserve">XXX[X(97)]</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dbb5d7bd3c2d47b3">
                    <w:r>
                      <w:rPr>
                        <w:rStyle w:val="Hyperlink"/>
                      </w:rPr>
                      <w:t xml:space="preserve">Area of usual residence (SA2)</w:t>
                    </w:r>
                  </w:hyperlink>
                </w:p>
              </w:tc>
              <w:tc>
                <w:tcPr>
                  <w:vAlign w:val="top"/>
                </w:tcPr>
                <w:p>
                  <w:r>
                    <w:t xml:space="preserve">659725</w:t>
                  </w:r>
                </w:p>
              </w:tc>
              <w:tc>
                <w:tcPr>
                  <w:vAlign w:val="top"/>
                </w:tcPr>
                <w:p>
                  <w:r>
                    <w:t xml:space="preserve">String
[9]</w:t>
                  </w:r>
                </w:p>
              </w:tc>
              <w:tc>
                <w:tcPr>
                  <w:vAlign w:val="top"/>
                </w:tcPr>
                <w:p>
                  <w:r>
                    <w:t xml:space="preserve">N(9)</w:t>
                  </w:r>
                  <w:r>
                    <w:br/>
                  </w:r>
                </w:p>
                <w:p>
                  <w:r>
                    <w:t xml:space="preserve">A code set representing a medium-sized general purpose area aggregated from whole Statistical areas level 1 (SA1s).</w:t>
                  </w:r>
                </w:p>
              </w:tc>
            </w:tr>
            <w:tr>
              <w:trPr/>
              <w:tc>
                <w:tcPr>
                  <w:tcMar>
                    <w:right w:w="29" w:type="dxa"/>
                  </w:tcMar>
                  <w:vAlign w:val="top"/>
                </w:tcPr>
                <w:p>
                  <w:pPr>
                    <w:keepNext/>
                    <w:jc w:val="center"/>
                  </w:pPr>
                  <w:r>
                    <w:t xml:space="preserve">-</w:t>
                  </w:r>
                </w:p>
              </w:tc>
              <w:tc>
                <w:tcPr>
                  <w:tcMar/>
                  <w:vAlign w:val="top"/>
                </w:tcPr>
                <w:p>
                  <w:hyperlink w:history="true" r:id="R60e5c7240b454841">
                    <w:r>
                      <w:rPr>
                        <w:rStyle w:val="Hyperlink"/>
                      </w:rPr>
                      <w:t xml:space="preserve">Country of birth</w:t>
                    </w:r>
                  </w:hyperlink>
                </w:p>
              </w:tc>
              <w:tc>
                <w:tcPr>
                  <w:vAlign w:val="top"/>
                </w:tcPr>
                <w:p>
                  <w:r>
                    <w:t xml:space="preserve">659454</w:t>
                  </w:r>
                </w:p>
              </w:tc>
              <w:tc>
                <w:tcPr>
                  <w:vAlign w:val="top"/>
                </w:tcPr>
                <w:p>
                  <w:r>
                    <w:t xml:space="preserve">Number
[4]</w:t>
                  </w:r>
                </w:p>
              </w:tc>
              <w:tc>
                <w:tcPr>
                  <w:vAlign w:val="top"/>
                </w:tcPr>
                <w:p>
                  <w:r>
                    <w:t xml:space="preserve">NNNN</w:t>
                  </w:r>
                  <w:r>
                    <w:br/>
                  </w:r>
                </w:p>
                <w:p>
                  <w:r>
                    <w:t xml:space="preserve">The Standard Australian Classification of Countries (SACC 2016) code set representing a country.</w:t>
                  </w:r>
                </w:p>
              </w:tc>
            </w:tr>
            <w:tr>
              <w:trPr/>
              <w:tc>
                <w:tcPr>
                  <w:tcMar>
                    <w:right w:w="29" w:type="dxa"/>
                  </w:tcMar>
                  <w:vAlign w:val="top"/>
                </w:tcPr>
                <w:p>
                  <w:pPr>
                    <w:keepNext/>
                    <w:jc w:val="center"/>
                  </w:pPr>
                  <w:r>
                    <w:t xml:space="preserve">-</w:t>
                  </w:r>
                </w:p>
              </w:tc>
              <w:tc>
                <w:tcPr>
                  <w:tcMar/>
                  <w:vAlign w:val="top"/>
                </w:tcPr>
                <w:p>
                  <w:hyperlink w:history="true" r:id="Rdb535fe21ef5433c">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w:t>
                  </w:r>
                </w:p>
              </w:tc>
              <w:tc>
                <w:tcPr>
                  <w:tcMar/>
                  <w:vAlign w:val="top"/>
                </w:tcPr>
                <w:p>
                  <w:hyperlink w:history="true" r:id="R2f200fd3d1ce4a39">
                    <w:r>
                      <w:rPr>
                        <w:rStyle w:val="Hyperlink"/>
                      </w:rPr>
                      <w:t xml:space="preserve">Indigenous status</w:t>
                    </w:r>
                  </w:hyperlink>
                </w:p>
              </w:tc>
              <w:tc>
                <w:tcPr>
                  <w:vAlign w:val="top"/>
                </w:tcPr>
                <w:p>
                  <w:r>
                    <w:t xml:space="preserve">602543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ef4d778e08e34b2e">
                    <w:r>
                      <w:rPr>
                        <w:rStyle w:val="Hyperlink"/>
                      </w:rPr>
                      <w:t xml:space="preserve">Marital status</w:t>
                    </w:r>
                  </w:hyperlink>
                </w:p>
              </w:tc>
              <w:tc>
                <w:tcPr>
                  <w:vAlign w:val="top"/>
                </w:tcPr>
                <w:p>
                  <w:r>
                    <w:t xml:space="preserve">291045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Never married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Widowed</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Divorced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Separated</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Married (registered and de facto)</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7905ead8bd96453d">
                    <w:r>
                      <w:rPr>
                        <w:rStyle w:val="Hyperlink"/>
                      </w:rPr>
                      <w:t xml:space="preserve">Person identifier</w:t>
                    </w:r>
                  </w:hyperlink>
                </w:p>
              </w:tc>
              <w:tc>
                <w:tcPr>
                  <w:vAlign w:val="top"/>
                </w:tcPr>
                <w:p>
                  <w:r>
                    <w:t xml:space="preserve">290046</w:t>
                  </w:r>
                </w:p>
              </w:tc>
              <w:tc>
                <w:tcPr>
                  <w:vAlign w:val="top"/>
                </w:tcPr>
                <w:p>
                  <w:r>
                    <w:t xml:space="preserve">String
[20]</w:t>
                  </w:r>
                </w:p>
              </w:tc>
              <w:tc>
                <w:tcPr>
                  <w:vAlign w:val="top"/>
                </w:tcPr>
                <w:p>
                  <w:r>
                    <w:t xml:space="preserve">XXXXXX[X(14)]</w:t>
                  </w:r>
                  <w:r>
                    <w:br/>
                  </w:r>
                </w:p>
                <w:p>
                  <w:r>
                    <w:t xml:space="preserve">A logical combination of valid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4404b6e550e444ec">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1bf11ecbef6d4701">
                    <w:r>
                      <w:rPr>
                        <w:rStyle w:val="Hyperlink"/>
                      </w:rPr>
                      <w:t xml:space="preserve">Residential stay start date</w:t>
                    </w:r>
                  </w:hyperlink>
                </w:p>
              </w:tc>
              <w:tc>
                <w:tcPr>
                  <w:vAlign w:val="top"/>
                </w:tcPr>
                <w:p>
                  <w:r>
                    <w:t xml:space="preserve">534061</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w:t>
                  </w:r>
                </w:p>
              </w:tc>
              <w:tc>
                <w:tcPr>
                  <w:tcMar/>
                  <w:vAlign w:val="top"/>
                </w:tcPr>
                <w:p>
                  <w:hyperlink w:history="true" r:id="Rb4f0f66d58344661">
                    <w:r>
                      <w:rPr>
                        <w:rStyle w:val="Hyperlink"/>
                      </w:rPr>
                      <w:t xml:space="preserve">Organisation identifier</w:t>
                    </w:r>
                  </w:hyperlink>
                </w:p>
              </w:tc>
              <w:tc>
                <w:tcPr>
                  <w:vAlign w:val="top"/>
                </w:tcPr>
                <w:p>
                  <w:r>
                    <w:t xml:space="preserve">404186</w:t>
                  </w:r>
                </w:p>
              </w:tc>
              <w:tc>
                <w:tcPr>
                  <w:vAlign w:val="top"/>
                </w:tcPr>
                <w:p>
                  <w:r>
                    <w:t xml:space="preserve">String
[4]</w:t>
                  </w:r>
                </w:p>
              </w:tc>
              <w:tc>
                <w:tcPr>
                  <w:vAlign w:val="top"/>
                </w:tcPr>
                <w:p>
                  <w:r>
                    <w:t xml:space="preserve">XXXX</w:t>
                  </w:r>
                  <w:r>
                    <w:br/>
                  </w:r>
                  <w:r>
                    <w:t xml:space="preserve">A combination of numeric and/or alphabetic characters that identify an entity.</w:t>
                  </w:r>
                </w:p>
              </w:tc>
            </w:tr>
            <w:tr>
              <w:trPr/>
              <w:tc>
                <w:tcPr>
                  <w:tcMar>
                    <w:right w:w="29" w:type="dxa"/>
                  </w:tcMar>
                  <w:vAlign w:val="top"/>
                </w:tcPr>
                <w:p>
                  <w:pPr>
                    <w:keepNext/>
                    <w:jc w:val="center"/>
                  </w:pPr>
                  <w:r>
                    <w:t xml:space="preserve">-</w:t>
                  </w:r>
                </w:p>
              </w:tc>
              <w:tc>
                <w:tcPr>
                  <w:tcMar/>
                  <w:vAlign w:val="top"/>
                </w:tcPr>
                <w:p>
                  <w:hyperlink w:history="true" r:id="R6632bfff33f644f1">
                    <w:r>
                      <w:rPr>
                        <w:rStyle w:val="Hyperlink"/>
                      </w:rPr>
                      <w:t xml:space="preserve">Specialised mental health service organisation name</w:t>
                    </w:r>
                  </w:hyperlink>
                </w:p>
              </w:tc>
              <w:tc>
                <w:tcPr>
                  <w:vAlign w:val="top"/>
                </w:tcPr>
                <w:p>
                  <w:r>
                    <w:t xml:space="preserve">405767</w:t>
                  </w:r>
                </w:p>
              </w:tc>
              <w:tc>
                <w:tcPr>
                  <w:vAlign w:val="top"/>
                </w:tcPr>
                <w:p>
                  <w:r>
                    <w:t xml:space="preserve">String
[100]</w:t>
                  </w:r>
                </w:p>
              </w:tc>
              <w:tc>
                <w:tcPr>
                  <w:vAlign w:val="top"/>
                </w:tcPr>
                <w:p>
                  <w:r>
                    <w:t xml:space="preserve">XXX[X(97)]</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be03d70c33f44a34">
                    <w:r>
                      <w:rPr>
                        <w:rStyle w:val="Hyperlink"/>
                      </w:rPr>
                      <w:t xml:space="preserve">Residential service unit identifier</w:t>
                    </w:r>
                  </w:hyperlink>
                </w:p>
              </w:tc>
              <w:tc>
                <w:tcPr>
                  <w:vAlign w:val="top"/>
                </w:tcPr>
                <w:p>
                  <w:r>
                    <w:t xml:space="preserve">404837</w:t>
                  </w:r>
                </w:p>
              </w:tc>
              <w:tc>
                <w:tcPr>
                  <w:vAlign w:val="top"/>
                </w:tcPr>
                <w:p>
                  <w:r>
                    <w:t xml:space="preserve">String
[6]</w:t>
                  </w:r>
                </w:p>
              </w:tc>
              <w:tc>
                <w:tcPr>
                  <w:vAlign w:val="top"/>
                </w:tcPr>
                <w:p>
                  <w:r>
                    <w:t xml:space="preserve">XXXXXX</w:t>
                  </w:r>
                  <w:r>
                    <w:br/>
                  </w:r>
                  <w:r>
                    <w:t xml:space="preserve">A combination of numeric and/or alphabetic characters that identify a service unit.</w:t>
                  </w:r>
                </w:p>
              </w:tc>
            </w:tr>
            <w:tr>
              <w:trPr/>
              <w:tc>
                <w:tcPr>
                  <w:tcMar>
                    <w:right w:w="29" w:type="dxa"/>
                  </w:tcMar>
                  <w:vAlign w:val="top"/>
                </w:tcPr>
                <w:p>
                  <w:pPr>
                    <w:keepNext/>
                    <w:jc w:val="center"/>
                  </w:pPr>
                  <w:r>
                    <w:t xml:space="preserve">-</w:t>
                  </w:r>
                </w:p>
              </w:tc>
              <w:tc>
                <w:tcPr>
                  <w:tcMar/>
                  <w:vAlign w:val="top"/>
                </w:tcPr>
                <w:p>
                  <w:hyperlink w:history="true" r:id="R12ce26ac6441481c">
                    <w:r>
                      <w:rPr>
                        <w:rStyle w:val="Hyperlink"/>
                      </w:rPr>
                      <w:t xml:space="preserve">Residential service unit name</w:t>
                    </w:r>
                  </w:hyperlink>
                </w:p>
              </w:tc>
              <w:tc>
                <w:tcPr>
                  <w:vAlign w:val="top"/>
                </w:tcPr>
                <w:p>
                  <w:r>
                    <w:t xml:space="preserve">407496</w:t>
                  </w:r>
                </w:p>
              </w:tc>
              <w:tc>
                <w:tcPr>
                  <w:vAlign w:val="top"/>
                </w:tcPr>
                <w:p>
                  <w:r>
                    <w:t xml:space="preserve">String
[100]</w:t>
                  </w:r>
                </w:p>
              </w:tc>
              <w:tc>
                <w:tcPr>
                  <w:vAlign w:val="top"/>
                </w:tcPr>
                <w:p>
                  <w:r>
                    <w:t xml:space="preserve">XXX[X(97)]</w:t>
                  </w:r>
                  <w:r>
                    <w:br/>
                  </w:r>
                  <w:r>
                    <w:t xml:space="preserve">A combination of alphanumeric characters.</w:t>
                  </w:r>
                </w:p>
              </w:tc>
            </w:tr>
          </w:tbl>
          <w:p/>
        </w:tc>
      </w:tr>
    </w:tbl>
    <w:p>
      <w:r>
        <w:br/>
      </w:r>
    </w:p>
    <w:sectPr>
      <w:footerReference xmlns:r="http://schemas.openxmlformats.org/officeDocument/2006/relationships" w:type="default" r:id="R10dd9b8aac6c4b98"/>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645718</w:t>
    </w:r>
    <w:r>
      <w:ptab w:alignment="right" w:relativeTo="margin" w:leader="none"/>
    </w:r>
    <w:r>
      <w:t xml:space="preserve">Page </w:t>
    </w:r>
    <w:fldSimple w:instr="PAGE"/>
    <w:r>
      <w:t xml:space="preserve"> of </w:t>
    </w:r>
    <w:fldSimple w:instr="NUMPAGES"/>
    <w:r>
      <w:ptab w:alignment="left" w:relativeTo="margin" w:leader="none"/>
    </w:r>
    <w:r>
      <w:t>Downloaded 18-Jul-2024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bf5d9f6f3b64e5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0dd9b8aac6c4b98" /><Relationship Type="http://schemas.openxmlformats.org/officeDocument/2006/relationships/header" Target="/word/header1.xml" Id="R454bc9a517e74b5d" /><Relationship Type="http://schemas.openxmlformats.org/officeDocument/2006/relationships/settings" Target="/word/settings.xml" Id="Raa908822324446ae" /><Relationship Type="http://schemas.openxmlformats.org/officeDocument/2006/relationships/styles" Target="/word/styles.xml" Id="R74d78892131342db" /><Relationship Type="http://schemas.openxmlformats.org/officeDocument/2006/relationships/hyperlink" Target="https://meteor.aihw.gov.au/content/641014" TargetMode="External" Id="R821d343e143e4970" /><Relationship Type="http://schemas.openxmlformats.org/officeDocument/2006/relationships/hyperlink" Target="https://meteor.aihw.gov.au/content/534063" TargetMode="External" Id="Rbe067919f8db445f" /><Relationship Type="http://schemas.openxmlformats.org/officeDocument/2006/relationships/hyperlink" Target="https://meteor.aihw.gov.au/content/640978" TargetMode="External" Id="R784ace2b62554fb0" /><Relationship Type="http://schemas.openxmlformats.org/officeDocument/2006/relationships/hyperlink" Target="https://meteor.aihw.gov.au/content/534037" TargetMode="External" Id="Rae377e8dd53a4d5a" /><Relationship Type="http://schemas.openxmlformats.org/officeDocument/2006/relationships/hyperlink" Target="https://meteor.aihw.gov.au/content/524966" TargetMode="External" Id="Rc8dd557f880e4202" /><Relationship Type="http://schemas.openxmlformats.org/officeDocument/2006/relationships/hyperlink" Target="https://meteor.aihw.gov.au/content/534048" TargetMode="External" Id="R377e5e08404c4cea" /><Relationship Type="http://schemas.openxmlformats.org/officeDocument/2006/relationships/hyperlink" Target="https://meteor.aihw.gov.au/content/525026" TargetMode="External" Id="Rd2d193ff2f15408f" /><Relationship Type="http://schemas.openxmlformats.org/officeDocument/2006/relationships/hyperlink" Target="https://meteor.aihw.gov.au/content/564573" TargetMode="External" Id="R2e015554598a4a69" /><Relationship Type="http://schemas.openxmlformats.org/officeDocument/2006/relationships/hyperlink" Target="https://meteor.aihw.gov.au/content/534017" TargetMode="External" Id="R9b5f83c100a24d0d" /><Relationship Type="http://schemas.openxmlformats.org/officeDocument/2006/relationships/hyperlink" Target="https://meteor.aihw.gov.au/content/269941" TargetMode="External" Id="R56ca73f5456949f3" /><Relationship Type="http://schemas.openxmlformats.org/officeDocument/2006/relationships/hyperlink" Target="https://meteor.aihw.gov.au/content/269940" TargetMode="External" Id="R8cc66e84afcc48bc" /><Relationship Type="http://schemas.openxmlformats.org/officeDocument/2006/relationships/hyperlink" Target="https://meteor.aihw.gov.au/content/407187" TargetMode="External" Id="R46cb716667f94d76" /><Relationship Type="http://schemas.openxmlformats.org/officeDocument/2006/relationships/hyperlink" Target="https://meteor.aihw.gov.au/content/269977" TargetMode="External" Id="R2ebacf2b850849b8" /><Relationship Type="http://schemas.openxmlformats.org/officeDocument/2006/relationships/hyperlink" Target="https://meteor.aihw.gov.au/content/404858" TargetMode="External" Id="R2f64b165b2dd445b" /><Relationship Type="http://schemas.openxmlformats.org/officeDocument/2006/relationships/hyperlink" Target="https://meteor.aihw.gov.au/content/409209" TargetMode="External" Id="Reffea94304bf4eb1" /><Relationship Type="http://schemas.openxmlformats.org/officeDocument/2006/relationships/hyperlink" Target="https://meteor.aihw.gov.au/content/659725" TargetMode="External" Id="Rdbb5d7bd3c2d47b3" /><Relationship Type="http://schemas.openxmlformats.org/officeDocument/2006/relationships/hyperlink" Target="https://meteor.aihw.gov.au/content/659454" TargetMode="External" Id="R60e5c7240b454841" /><Relationship Type="http://schemas.openxmlformats.org/officeDocument/2006/relationships/hyperlink" Target="https://meteor.aihw.gov.au/content/287007" TargetMode="External" Id="Rdb535fe21ef5433c" /><Relationship Type="http://schemas.openxmlformats.org/officeDocument/2006/relationships/hyperlink" Target="https://meteor.aihw.gov.au/content/602543" TargetMode="External" Id="R2f200fd3d1ce4a39" /><Relationship Type="http://schemas.openxmlformats.org/officeDocument/2006/relationships/hyperlink" Target="https://meteor.aihw.gov.au/content/291045" TargetMode="External" Id="Ref4d778e08e34b2e" /><Relationship Type="http://schemas.openxmlformats.org/officeDocument/2006/relationships/hyperlink" Target="https://meteor.aihw.gov.au/content/290046" TargetMode="External" Id="R7905ead8bd96453d" /><Relationship Type="http://schemas.openxmlformats.org/officeDocument/2006/relationships/hyperlink" Target="https://meteor.aihw.gov.au/content/287316" TargetMode="External" Id="R4404b6e550e444ec" /><Relationship Type="http://schemas.openxmlformats.org/officeDocument/2006/relationships/hyperlink" Target="https://meteor.aihw.gov.au/content/534061" TargetMode="External" Id="R1bf11ecbef6d4701" /><Relationship Type="http://schemas.openxmlformats.org/officeDocument/2006/relationships/hyperlink" Target="https://meteor.aihw.gov.au/content/404186" TargetMode="External" Id="Rb4f0f66d58344661" /><Relationship Type="http://schemas.openxmlformats.org/officeDocument/2006/relationships/hyperlink" Target="https://meteor.aihw.gov.au/content/405767" TargetMode="External" Id="R6632bfff33f644f1" /><Relationship Type="http://schemas.openxmlformats.org/officeDocument/2006/relationships/hyperlink" Target="https://meteor.aihw.gov.au/content/404837" TargetMode="External" Id="Rbe03d70c33f44a34" /><Relationship Type="http://schemas.openxmlformats.org/officeDocument/2006/relationships/hyperlink" Target="https://meteor.aihw.gov.au/content/407496" TargetMode="External" Id="R12ce26ac6441481c" /></Relationships>
</file>

<file path=word/_rels/header1.xml.rels>&#65279;<?xml version="1.0" encoding="utf-8"?><Relationships xmlns="http://schemas.openxmlformats.org/package/2006/relationships"><Relationship Type="http://schemas.openxmlformats.org/officeDocument/2006/relationships/image" Target="/media/image.png" Id="Rfbf5d9f6f3b64e56" /></Relationships>
</file>