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70c073faf148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0e03296b74d97">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(International Statistical Classification of Diseases and Related Health Problems, 10th revision (ICD-10)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6d1fa995d24062">
              <w:r>
                <w:rPr>
                  <w:rStyle w:val="Hyperlink"/>
                </w:rPr>
                <w:t xml:space="preserve">National Indigenous Reform Agreement (2017)</w:t>
              </w:r>
            </w:hyperlink>
          </w:p>
          <w:p>
            <w:pPr>
              <w:spacing w:before="0" w:after="0"/>
            </w:pPr>
            <w:r>
              <w:rPr>
                <w:rStyle w:val="row-content"/>
                <w:color w:val="244061"/>
              </w:rPr>
              <w:t xml:space="preserve">       </w:t>
            </w:r>
            <w:hyperlink w:history="true" r:id="Ra01af01a8a2c44e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6aaa5a4c844574">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24b2fe2926c47b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4c4d250fa7648bf">
              <w:r>
                <w:rPr>
                  <w:rStyle w:val="Hyperlink"/>
                </w:rPr>
                <w:t xml:space="preserve">National Indigenous Reform Agreement: PI 02-Mortality rate by leading causes, 2015-16; Quality Statement</w:t>
              </w:r>
            </w:hyperlink>
          </w:p>
          <w:p>
            <w:pPr>
              <w:spacing w:before="0" w:after="0"/>
            </w:pPr>
            <w:r>
              <w:rPr>
                <w:rStyle w:val="row-content"/>
                <w:color w:val="244061"/>
              </w:rPr>
              <w:t xml:space="preserve">       </w:t>
            </w:r>
            <w:hyperlink w:history="true" r:id="R4046104e6d474a16">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over time as annual proxy measure against life expectancy target).</w:t>
            </w:r>
          </w:p>
          <w:p>
            <w:pPr>
              <w:spacing w:after="160"/>
            </w:pPr>
            <w:r>
              <w:rPr>
                <w:rStyle w:val="row-content-rich-text"/>
              </w:rPr>
              <w:t xml:space="preserve">Excludes deaths where Indigenous status was not stated.</w:t>
            </w:r>
          </w:p>
          <w:p>
            <w:pPr>
              <w:spacing w:after="160"/>
            </w:pPr>
            <w:r>
              <w:rPr>
                <w:rStyle w:val="row-content-rich-text"/>
              </w:rPr>
              <w:t xml:space="preserve">Where age is not stated, pro-rating should be applied.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of death (as per list contained in ‘Definitions’ below)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 (AIHW 2015):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w:t>
            </w:r>
          </w:p>
          <w:p>
            <w:pPr>
              <w:pStyle w:val="ListParagraph"/>
              <w:numPr>
                <w:ilvl w:val="0"/>
                <w:numId w:val="2"/>
              </w:numPr>
            </w:pPr>
            <w:r>
              <w:rPr>
                <w:rStyle w:val="row-content-rich-text"/>
              </w:rPr>
              <w:t xml:space="preserve">Malignant neoplasms—Cancer (C00–C97, D45, D46, D47.1, D47.3, D47.4, D47.5)</w:t>
            </w:r>
          </w:p>
          <w:p>
            <w:pPr>
              <w:pStyle w:val="ListParagraph"/>
              <w:numPr>
                <w:ilvl w:val="0"/>
                <w:numId w:val="2"/>
              </w:numPr>
            </w:pPr>
            <w:r>
              <w:rPr>
                <w:rStyle w:val="row-content-rich-text"/>
              </w:rPr>
              <w:t xml:space="preserve">Malignant neoplasms of digestive organs (C15–C26)</w:t>
            </w:r>
          </w:p>
          <w:p>
            <w:pPr>
              <w:pStyle w:val="ListParagraph"/>
              <w:numPr>
                <w:ilvl w:val="0"/>
                <w:numId w:val="2"/>
              </w:numPr>
            </w:pPr>
            <w:r>
              <w:rPr>
                <w:rStyle w:val="row-content-rich-text"/>
              </w:rPr>
              <w:t xml:space="preserve">Malignant neoplasm of bronchus and lung (C34)</w:t>
            </w:r>
          </w:p>
          <w:p>
            <w:pPr>
              <w:pStyle w:val="ListParagraph"/>
              <w:numPr>
                <w:ilvl w:val="0"/>
                <w:numId w:val="2"/>
              </w:numPr>
            </w:pPr>
            <w:r>
              <w:rPr>
                <w:rStyle w:val="row-content-rich-text"/>
              </w:rPr>
              <w:t xml:space="preserve">Malignant neoplasm of cervix uteri (C53)</w:t>
            </w:r>
          </w:p>
          <w:p>
            <w:pPr>
              <w:pStyle w:val="ListParagraph"/>
              <w:numPr>
                <w:ilvl w:val="0"/>
                <w:numId w:val="2"/>
              </w:numPr>
            </w:pPr>
            <w:r>
              <w:rPr>
                <w:rStyle w:val="row-content-rich-text"/>
              </w:rPr>
              <w:t xml:space="preserve">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(E00–E89)</w:t>
            </w:r>
          </w:p>
          <w:p>
            <w:pPr>
              <w:pStyle w:val="ListParagraph"/>
              <w:numPr>
                <w:ilvl w:val="0"/>
                <w:numId w:val="2"/>
              </w:numPr>
            </w:pPr>
            <w:r>
              <w:rPr>
                <w:rStyle w:val="row-content-rich-text"/>
              </w:rPr>
              <w:t xml:space="preserve">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 (that is, causes not listed above)</w:t>
            </w:r>
          </w:p>
          <w:p>
            <w:pPr>
              <w:pStyle w:val="ListParagraph"/>
              <w:numPr>
                <w:ilvl w:val="0"/>
                <w:numId w:val="2"/>
              </w:numPr>
            </w:pPr>
            <w:r>
              <w:rPr>
                <w:rStyle w:val="row-content-rich-text"/>
              </w:rPr>
              <w:t xml:space="preserve">Total (all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(C00–D48)</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(E00–E89)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 (that is, causes other than the top 5)</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Mortality rates</w:t>
            </w:r>
            <w:r>
              <w:rPr>
                <w:rStyle w:val="row-content-rich-text"/>
              </w:rPr>
              <w:t xml:space="preserve">:</w:t>
            </w:r>
          </w:p>
          <w:p>
            <w:pPr>
              <w:spacing w:after="160"/>
            </w:pPr>
            <w:r>
              <w:rPr>
                <w:rStyle w:val="row-content-rich-text"/>
                <w:u w:val="single"/>
              </w:rPr>
              <w:t xml:space="preserve">Crude percentage</w:t>
            </w:r>
            <w:r>
              <w:rPr>
                <w:rStyle w:val="row-content-rich-text"/>
              </w:rPr>
              <w:t xml:space="preserve">: number of deaths by cause divided by all deaths.</w:t>
            </w:r>
          </w:p>
          <w:p>
            <w:pPr>
              <w:spacing w:after="160"/>
            </w:pPr>
            <w:r>
              <w:rPr>
                <w:rStyle w:val="row-content-rich-text"/>
                <w:u w:val="single"/>
              </w:rPr>
              <w:t xml:space="preserve">Crude rate</w:t>
            </w:r>
            <w:r>
              <w:rPr>
                <w:rStyle w:val="row-content-rich-text"/>
              </w:rPr>
              <w:t xml:space="preserve">: 100,000 x (Numerator ÷ Denominator).</w:t>
            </w:r>
          </w:p>
          <w:p>
            <w:hyperlink w:history="true" r:id="Rcc85d87f6e5b4185">
              <w:r>
                <w:rPr>
                  <w:rStyle w:val="Hyperlink"/>
                </w:rPr>
                <w:t xml:space="preserve">Age-standardised rate</w:t>
              </w:r>
            </w:hyperlink>
            <w:r>
              <w:rPr>
                <w:rStyle w:val="row-content-rich-text"/>
              </w:rPr>
              <w:t xml:space="preserve">: calculated using the direct method using five-year age groups from 0–4 years to 75 years and over, with the Australian standard population as at 30 June 2001 as the standard. Age-standardisation should be done in accordance with the National Indigenous Reform Agreement Performance Information Management Group (NIRAPIMG) agreed principles for direct age-standardisation (see the Comments section below).</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3200400" cy="94297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fecb827c856d4784"/>
                          <a:srcRect/>
                          <a:stretch>
                            <a:fillRect/>
                          </a:stretch>
                        </pic:blipFill>
                        <pic:spPr bwMode="auto">
                          <a:xfrm>
                            <a:off x="0" y="0"/>
                            <a:ext cx="3200400" cy="9429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i/>
              </w:rPr>
              <w:t xml:space="preserve">Age-standardised rate:</w:t>
            </w:r>
          </w:p>
          <w:p>
            <w:r>
              <w:drawing>
                <wp:inline xmlns:wp="http://schemas.openxmlformats.org/drawingml/2006/wordprocessingDrawing" distT="0" distB="0" distL="0" distR="0">
                  <wp:extent cx="4754880" cy="1489923"/>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10917ebb0d9b44f6"/>
                          <a:srcRect/>
                          <a:stretch>
                            <a:fillRect/>
                          </a:stretch>
                        </pic:blipFill>
                        <pic:spPr bwMode="auto">
                          <a:xfrm>
                            <a:off x="0" y="0"/>
                            <a:ext cx="4924425" cy="15430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b608824d1ddc4af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c6629204395f4f57">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895ccc47074427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496b3ebc9ad9418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all people in relevant population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fb6aeaa8b8f481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PES and estimates of fertility, mortality and net migration.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cc6b4d9056e43d9">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Derived from Census, Census Post Enumeration Survey (PES) and estimates of fertility, mortality and net migration. Backcast population estimates and Series B projections.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 </w:t>
            </w:r>
            <w:r>
              <w:rPr>
                <w:rStyle w:val="row-content-rich-text"/>
              </w:rPr>
              <w:t xml:space="preserve">- 2011–2015 (both all causes and specific causes of death) and 2010–2014 (specific causes of death only; data for all causes for this period have been previously published).</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State/territory (including total) by selected causes of death including total (ICD-10 chapter level and some sub-chapter level).</w:t>
            </w:r>
          </w:p>
          <w:p>
            <w:pPr>
              <w:pStyle w:val="ListParagraph"/>
              <w:numPr>
                <w:ilvl w:val="0"/>
                <w:numId w:val="4"/>
              </w:numPr>
            </w:pPr>
            <w:r>
              <w:rPr>
                <w:rStyle w:val="row-content-rich-text"/>
              </w:rPr>
              <w:t xml:space="preserve">Total (selected states/territories) by sex by selected causes of death (ICD-10 chapter level and some sub-chapter level).</w:t>
            </w:r>
          </w:p>
          <w:p>
            <w:pPr>
              <w:pStyle w:val="ListParagraph"/>
              <w:numPr>
                <w:ilvl w:val="0"/>
                <w:numId w:val="4"/>
              </w:numPr>
            </w:pPr>
            <w:r>
              <w:rPr>
                <w:rStyle w:val="row-content-rich-text"/>
              </w:rPr>
              <w:t xml:space="preserve">State/territory (including total) by Indigenous status: all causes of death.</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State/territory (including total) by selected causes of death including total (ICD-10 chapter level and some sub-chapter level).</w:t>
            </w:r>
          </w:p>
          <w:p>
            <w:pPr>
              <w:pStyle w:val="ListParagraph"/>
              <w:numPr>
                <w:ilvl w:val="0"/>
                <w:numId w:val="5"/>
              </w:numPr>
            </w:pPr>
            <w:r>
              <w:rPr>
                <w:rStyle w:val="row-content-rich-text"/>
              </w:rPr>
              <w:t xml:space="preserve">Total (selected states/territories) by sex by selected causes of death (ICD-10 chapter level and some sub-chapter level).</w:t>
            </w:r>
          </w:p>
          <w:p>
            <w:pPr>
              <w:pStyle w:val="ListParagraph"/>
              <w:numPr>
                <w:ilvl w:val="0"/>
                <w:numId w:val="5"/>
              </w:numPr>
            </w:pPr>
            <w:r>
              <w:rPr>
                <w:rStyle w:val="row-content-rich-text"/>
              </w:rPr>
              <w:t xml:space="preserve">State/territory (including total): all causes of death.</w:t>
            </w:r>
          </w:p>
          <w:p>
            <w:pPr>
              <w:spacing w:after="160"/>
            </w:pPr>
            <w:r>
              <w:rPr>
                <w:rStyle w:val="row-content-rich-text"/>
                <w:b/>
              </w:rPr>
              <w:t xml:space="preserve">Time series</w:t>
            </w:r>
            <w:r>
              <w:rPr>
                <w:rStyle w:val="row-content-rich-text"/>
              </w:rPr>
              <w:t xml:space="preserve"> - Cause of death:  2006, 2007, 2008, 2009, 2010, 2011 (historical data available previously), 2012 (revised), 2013 (revised), 2014, 2015 (current).</w:t>
            </w:r>
          </w:p>
          <w:p>
            <w:pPr>
              <w:spacing w:after="160"/>
            </w:pPr>
            <w:r>
              <w:rPr>
                <w:rStyle w:val="row-content-rich-text"/>
              </w:rPr>
              <w:t xml:space="preserve">All causes of death: 2006, 2007, 2008, 2009, 2010, 2011, 2012, 2013, 2014 (historical data available previously), 2015 (current).</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Total (selected states/territories) by sex by Indigenous status: all causes of death.</w:t>
            </w:r>
          </w:p>
          <w:p>
            <w:pPr>
              <w:pStyle w:val="ListParagraph"/>
              <w:numPr>
                <w:ilvl w:val="0"/>
                <w:numId w:val="6"/>
              </w:numPr>
            </w:pPr>
            <w:r>
              <w:rPr>
                <w:rStyle w:val="row-content-rich-text"/>
              </w:rPr>
              <w:t xml:space="preserve">State/territory (including total) by Indigenous status: all causes of death.</w:t>
            </w:r>
          </w:p>
          <w:p>
            <w:pPr>
              <w:pStyle w:val="ListParagraph"/>
              <w:numPr>
                <w:ilvl w:val="0"/>
                <w:numId w:val="6"/>
              </w:numPr>
            </w:pPr>
            <w:r>
              <w:rPr>
                <w:rStyle w:val="row-content-rich-text"/>
              </w:rPr>
              <w:t xml:space="preserve">State/territory (including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2ff9e81fa424cc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4966d7adfaf248c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2nd edn) ANN-ANN</w:t>
            </w:r>
          </w:p>
          <w:p>
            <w:r>
              <w:rPr>
                <w:rStyle w:val="row-content"/>
              </w:rPr>
              <w:t xml:space="preserve"> </w:t>
            </w:r>
          </w:p>
          <w:p>
            <w:r>
              <w:rPr>
                <w:rStyle w:val="row-content"/>
                <w:b/>
              </w:rPr>
              <w:t xml:space="preserve">Data Source</w:t>
            </w:r>
          </w:p>
          <w:p>
            <w:hyperlink w:history="true" r:id="R15957f5931b6485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2015 for both all causes and specific causes of death.  Up until this reporting cycle, causes of death data lagged a year behind the all causes data. As such, in the 2016 report, all causes data were reported for 2014, while data by cause of death were reported for 2013. In order to provide a complete time series, 2014 causes of death data are included in this report. Revised cause of death data are also provided for 2012 and 2013.</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(2011–2015). Aggregate data by cause of death are also provided for 2010–2014 (for completeness).</w:t>
            </w:r>
          </w:p>
          <w:p>
            <w:pPr>
              <w:spacing w:after="160"/>
            </w:pPr>
            <w:r>
              <w:rPr>
                <w:rStyle w:val="row-content-rich-text"/>
              </w:rPr>
              <w:t xml:space="preserve">Single year data will be used for time series (2006, 2007, 2008, 2009, 2010, 2011, 2012, 2013, 2014 and 2015 ). Data for the years pre-2015 for all causes and pre-2014 for specific causes have been supplied previously. Revised single year cause of death data are to be resupplied for 2012 and 2013 only.</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states/territories are considered of acceptable quality for reporting mortality of Indigenous persons (NSW, Qld, WA, SA and the NT from 1998).</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(computation for 5 year combined is average of 5 years for the numerator and use of mid-point year for the denominator). Single year data will be used for reporting time series.</w:t>
            </w:r>
          </w:p>
          <w:p>
            <w:pPr>
              <w:spacing w:after="160"/>
            </w:pPr>
            <w:r>
              <w:rPr>
                <w:rStyle w:val="row-content-rich-text"/>
              </w:rPr>
              <w:t xml:space="preserve">To report trends, the assessment body should separately request percentage change and statistical significance testing for this indicator directly from the AIHW on data supplied by the Australian Bureau of Statistics.</w:t>
            </w:r>
          </w:p>
          <w:p>
            <w:pPr>
              <w:spacing w:after="160"/>
            </w:pPr>
            <w:r>
              <w:rPr>
                <w:rStyle w:val="row-content-rich-text"/>
              </w:rPr>
              <w:t xml:space="preserve">Variability bands accompanying mortality data should be used for the purpose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using the three-year average of 2005–2007; baseline year for this indicator is 2006; target year is 2031.</w:t>
            </w:r>
          </w:p>
          <w:p>
            <w:pPr>
              <w:spacing w:after="160"/>
            </w:pPr>
            <w:r>
              <w:rPr>
                <w:rStyle w:val="row-content-rich-text"/>
              </w:rPr>
              <w:t xml:space="preserve">Measures are derived from estimated resident populations (ERPs) and projections based on the 2011 Census. The non-Indigenous population will be calculated based on 2011 Census-based ERP total population minus 2011 Census-based back-cast and projections. First release total population ERP is to be used until rebased. Rates may not be comparable with overall rates reported elsewhere in national reporting.</w:t>
            </w:r>
          </w:p>
          <w:p>
            <w:pPr>
              <w:spacing w:after="160"/>
            </w:pPr>
            <w:r>
              <w:rPr>
                <w:rStyle w:val="row-content-rich-text"/>
                <w:b/>
              </w:rPr>
              <w:t xml:space="preserve">NIRAPIMG agreed Principles for reporting directly age-standardised rates for administrative data are as follows:</w:t>
            </w:r>
          </w:p>
          <w:p>
            <w:pPr>
              <w:spacing w:after="160"/>
            </w:pPr>
            <w:r>
              <w:rPr>
                <w:rStyle w:val="row-content-rich-text"/>
              </w:rPr>
              <w:t xml:space="preserve">Overarching principle: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w:t>
            </w:r>
          </w:p>
          <w:p>
            <w:pPr>
              <w:spacing w:after="160"/>
            </w:pPr>
            <w:r>
              <w:rPr>
                <w:rStyle w:val="row-content-rich-text"/>
              </w:rPr>
              <w:t xml:space="preserve">The population used as the denominator for the calculation of Indigenous age-standardised rates should be Series B of Indigenous estimates and projections 2001 to 2026 based on the 2011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principles 3 and 4).</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5-year age groupings of 0–4 years to 75 years and over (provided Principles 2 and 3 for denominator and numerator are met).</w:t>
            </w:r>
          </w:p>
          <w:p>
            <w:pPr>
              <w:spacing w:after="160"/>
            </w:pPr>
            <w:r>
              <w:rPr>
                <w:rStyle w:val="row-content-rich-text"/>
              </w:rPr>
              <w:t xml:space="preserve">10-year age groups may be used to overcome small numbers (20-year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 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b1c5f4720d434c">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2c51f17147438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156faa874147d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ed771c683944f7">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1eff897c018485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cf47402883044e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b2b9618b88472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Aboriginal and Torres Strait Islander Health Performance Framework data. Canberra: AIHW. Viewed 29 October 2015, </w:t>
            </w:r>
            <w:hyperlink w:history="true" r:id="R1a67fb85227b40ec">
              <w:r>
                <w:rPr>
                  <w:rStyle w:val="Hyperlink"/>
                </w:rPr>
                <w:t xml:space="preserve">http://www.aihw.gov.au/indigenous-data/health-performance-framework/</w:t>
              </w:r>
            </w:hyperlink>
            <w:r>
              <w:rPr>
                <w:rStyle w:val="row-content-rich-text"/>
              </w:rPr>
              <w:t xml:space="preserve">.</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87f47ddd474258">
              <w:r>
                <w:rPr>
                  <w:rStyle w:val="Hyperlink"/>
                </w:rPr>
                <w:t xml:space="preserve">National Indigenous Reform Agreement: PI 02—Mortality rate by leading causes, 2016</w:t>
              </w:r>
            </w:hyperlink>
          </w:p>
          <w:p>
            <w:pPr>
              <w:spacing w:before="0" w:after="0"/>
            </w:pPr>
            <w:r>
              <w:rPr>
                <w:rStyle w:val="row-content"/>
                <w:color w:val="244061"/>
              </w:rPr>
              <w:t xml:space="preserve">       </w:t>
            </w:r>
            <w:hyperlink w:history="true" r:id="R6d173ed8bf0b436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372e58e269984248">
              <w:r>
                <w:rPr>
                  <w:rStyle w:val="Hyperlink"/>
                </w:rPr>
                <w:t xml:space="preserve">National Indigenous Reform Agreement: PI 02-Mortality rate by leading causes, 2018</w:t>
              </w:r>
            </w:hyperlink>
          </w:p>
          <w:p>
            <w:pPr>
              <w:spacing w:before="0" w:after="0"/>
            </w:pPr>
            <w:r>
              <w:rPr>
                <w:rStyle w:val="row-content"/>
                <w:color w:val="244061"/>
              </w:rPr>
              <w:t xml:space="preserve">       </w:t>
            </w:r>
            <w:hyperlink w:history="true" r:id="R366531d416c14a0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9b9733f35f91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9f9ced7902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733f35f914f6a" /><Relationship Type="http://schemas.openxmlformats.org/officeDocument/2006/relationships/header" Target="/word/header1.xml" Id="R5442006443cf4ae2" /><Relationship Type="http://schemas.openxmlformats.org/officeDocument/2006/relationships/settings" Target="/word/settings.xml" Id="Rb03d5db87b424ad5" /><Relationship Type="http://schemas.openxmlformats.org/officeDocument/2006/relationships/styles" Target="/word/styles.xml" Id="R9f43c40add2f4dc9" /><Relationship Type="http://schemas.openxmlformats.org/officeDocument/2006/relationships/hyperlink" Target="https://meteor.aihw.gov.au/RegistrationAuthority/6" TargetMode="External" Id="Rad10e03296b74d97" /><Relationship Type="http://schemas.openxmlformats.org/officeDocument/2006/relationships/hyperlink" Target="https://meteor.aihw.gov.au/content/645344" TargetMode="External" Id="R4a6d1fa995d24062" /><Relationship Type="http://schemas.openxmlformats.org/officeDocument/2006/relationships/hyperlink" Target="https://meteor.aihw.gov.au/RegistrationAuthority/6" TargetMode="External" Id="Ra01af01a8a2c44e7" /><Relationship Type="http://schemas.openxmlformats.org/officeDocument/2006/relationships/hyperlink" Target="https://meteor.aihw.gov.au/content/396115" TargetMode="External" Id="R3c6aaa5a4c844574" /><Relationship Type="http://schemas.openxmlformats.org/officeDocument/2006/relationships/hyperlink" Target="https://meteor.aihw.gov.au/RegistrationAuthority/6" TargetMode="External" Id="R424b2fe2926c47ba" /><Relationship Type="http://schemas.openxmlformats.org/officeDocument/2006/relationships/hyperlink" Target="https://meteor.aihw.gov.au/content/664678" TargetMode="External" Id="Re4c4d250fa7648bf" /><Relationship Type="http://schemas.openxmlformats.org/officeDocument/2006/relationships/hyperlink" Target="https://meteor.aihw.gov.au/RegistrationAuthority/6" TargetMode="External" Id="R4046104e6d474a16" /><Relationship Type="http://schemas.openxmlformats.org/officeDocument/2006/relationships/numbering" Target="/word/numbering.xml" Id="R8e18e58091b34fa2" /><Relationship Type="http://schemas.openxmlformats.org/officeDocument/2006/relationships/hyperlink" Target="https://meteor.aihw.gov.au/content/327276" TargetMode="External" Id="Rcc85d87f6e5b4185" /><Relationship Type="http://schemas.openxmlformats.org/officeDocument/2006/relationships/image" Target="/media/image.jpg" Id="Rfecb827c856d4784" /><Relationship Type="http://schemas.openxmlformats.org/officeDocument/2006/relationships/image" Target="/media/image2.jpg" Id="R10917ebb0d9b44f6" /><Relationship Type="http://schemas.openxmlformats.org/officeDocument/2006/relationships/hyperlink" Target="https://meteor.aihw.gov.au/content/394481" TargetMode="External" Id="Rb608824d1ddc4af1" /><Relationship Type="http://schemas.openxmlformats.org/officeDocument/2006/relationships/hyperlink" Target="https://meteor.aihw.gov.au/content/394481" TargetMode="External" Id="Rc6629204395f4f57" /><Relationship Type="http://schemas.openxmlformats.org/officeDocument/2006/relationships/hyperlink" Target="https://meteor.aihw.gov.au/content/394490" TargetMode="External" Id="Re895ccc47074427f" /><Relationship Type="http://schemas.openxmlformats.org/officeDocument/2006/relationships/hyperlink" Target="https://meteor.aihw.gov.au/content/394490" TargetMode="External" Id="R496b3ebc9ad9418c" /><Relationship Type="http://schemas.openxmlformats.org/officeDocument/2006/relationships/hyperlink" Target="https://meteor.aihw.gov.au/content/585823" TargetMode="External" Id="Rbfb6aeaa8b8f481c" /><Relationship Type="http://schemas.openxmlformats.org/officeDocument/2006/relationships/hyperlink" Target="https://meteor.aihw.gov.au/content/585844" TargetMode="External" Id="Rfcc6b4d9056e43d9" /><Relationship Type="http://schemas.openxmlformats.org/officeDocument/2006/relationships/hyperlink" Target="https://meteor.aihw.gov.au/content/394481" TargetMode="External" Id="R82ff9e81fa424cc4" /><Relationship Type="http://schemas.openxmlformats.org/officeDocument/2006/relationships/hyperlink" Target="https://meteor.aihw.gov.au/content/394481" TargetMode="External" Id="R4966d7adfaf248c1" /><Relationship Type="http://schemas.openxmlformats.org/officeDocument/2006/relationships/hyperlink" Target="https://meteor.aihw.gov.au/content/394490" TargetMode="External" Id="R15957f5931b64850" /><Relationship Type="http://schemas.openxmlformats.org/officeDocument/2006/relationships/hyperlink" Target="https://meteor.aihw.gov.au/content/410671" TargetMode="External" Id="R74b1c5f4720d434c" /><Relationship Type="http://schemas.openxmlformats.org/officeDocument/2006/relationships/hyperlink" Target="https://meteor.aihw.gov.au/content/585823" TargetMode="External" Id="R892c51f171474384" /><Relationship Type="http://schemas.openxmlformats.org/officeDocument/2006/relationships/hyperlink" Target="https://meteor.aihw.gov.au/content/394481" TargetMode="External" Id="R59156faa874147d7" /><Relationship Type="http://schemas.openxmlformats.org/officeDocument/2006/relationships/hyperlink" Target="https://meteor.aihw.gov.au/content/585844" TargetMode="External" Id="R40ed771c683944f7" /><Relationship Type="http://schemas.openxmlformats.org/officeDocument/2006/relationships/hyperlink" Target="https://meteor.aihw.gov.au/content/394490" TargetMode="External" Id="Rb1eff897c0184850" /><Relationship Type="http://schemas.openxmlformats.org/officeDocument/2006/relationships/hyperlink" Target="https://meteor.aihw.gov.au/content/449206" TargetMode="External" Id="Rdcf47402883044ec" /><Relationship Type="http://schemas.openxmlformats.org/officeDocument/2006/relationships/hyperlink" Target="https://meteor.aihw.gov.au/content/410271" TargetMode="External" Id="R12b2b9618b88472a" /><Relationship Type="http://schemas.openxmlformats.org/officeDocument/2006/relationships/hyperlink" Target="http://www.aihw.gov.au/indigenous-data/health-performance-framework/" TargetMode="External" Id="R1a67fb85227b40ec" /><Relationship Type="http://schemas.openxmlformats.org/officeDocument/2006/relationships/hyperlink" Target="https://meteor.aihw.gov.au/content/611147" TargetMode="External" Id="R3687f47ddd474258" /><Relationship Type="http://schemas.openxmlformats.org/officeDocument/2006/relationships/hyperlink" Target="https://meteor.aihw.gov.au/RegistrationAuthority/6" TargetMode="External" Id="R6d173ed8bf0b436c" /><Relationship Type="http://schemas.openxmlformats.org/officeDocument/2006/relationships/hyperlink" Target="https://meteor.aihw.gov.au/content/668666" TargetMode="External" Id="R372e58e269984248" /><Relationship Type="http://schemas.openxmlformats.org/officeDocument/2006/relationships/hyperlink" Target="https://meteor.aihw.gov.au/RegistrationAuthority/6" TargetMode="External" Id="R366531d416c14a06" /></Relationships>
</file>

<file path=word/_rels/header1.xml.rels>&#65279;<?xml version="1.0" encoding="utf-8"?><Relationships xmlns="http://schemas.openxmlformats.org/package/2006/relationships"><Relationship Type="http://schemas.openxmlformats.org/officeDocument/2006/relationships/image" Target="/media/image.png" Id="Rf29f9ced79024446" /></Relationships>
</file>