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b05852531b4060" /></Relationships>
</file>

<file path=word/document.xml><?xml version="1.0" encoding="utf-8"?>
<w:document xmlns:r="http://schemas.openxmlformats.org/officeDocument/2006/relationships" xmlns:w="http://schemas.openxmlformats.org/wordprocessingml/2006/main">
  <w:body>
    <w:p>
      <w:pPr>
        <w:pStyle w:val="Title"/>
      </w:pPr>
      <w:r>
        <w:t>Osteoarthritis of the knee clinical care standard indicators: 6b-Proportion of patients with knee osteoarthritis with evidence of pain and function assessments within the previous 12 months</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Osteoarthritis of the knee clinical care standard indicators: 6b-Proportion of patients with knee osteoarthritis with evidence of pain and function assessments within the previous 12 months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6b-Proportion of patients with knee osteoarthritis with evidence of pain and function assessments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03165889254405">
              <w:r>
                <w:rPr>
                  <w:rStyle w:val="Hyperlink"/>
                  <w:color w:val="244061"/>
                </w:rPr>
                <w:t xml:space="preserve">Health</w:t>
              </w:r>
            </w:hyperlink>
            <w:r>
              <w:rPr>
                <w:rStyle w:val="row-content"/>
                <w:color w:val="244061"/>
              </w:rPr>
              <w:t xml:space="preserve">, Standard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knee </w:t>
            </w:r>
            <w:hyperlink w:tooltip="A clinical syndrome of joint pain accompanied by varying degrees of functional limitation and reduced quality of life. Pain, reduced function and effects on a person’s ability to carry out their day-to-day activities can be important consequences. Oste..." w:history="true" r:id="Rcf3e1b4982f241fa">
              <w:r>
                <w:rPr>
                  <w:rStyle w:val="Hyperlink"/>
                  <w:b/>
                </w:rPr>
                <w:t xml:space="preserve">osteoarthritis</w:t>
              </w:r>
            </w:hyperlink>
            <w:r>
              <w:rPr>
                <w:rStyle w:val="row-content-rich-text"/>
              </w:rPr>
              <w:t xml:space="preserve"> with evidence of a pain assessment and a function assessment undertaken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Given that managing pain and improving function are the two primary goals in the management of osteoarthritis, assessing these is essential to clinical decision making (Pencharz &amp; MacLean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a529b9e3492439e">
              <w:r>
                <w:rPr>
                  <w:rStyle w:val="Hyperlink"/>
                </w:rPr>
                <w:t xml:space="preserve">Clinical care standard indicators: osteoarthritis of the knee</w:t>
              </w:r>
            </w:hyperlink>
          </w:p>
          <w:p>
            <w:pPr>
              <w:spacing w:before="0" w:after="0"/>
            </w:pPr>
            <w:r>
              <w:rPr>
                <w:rStyle w:val="row-content"/>
                <w:color w:val="244061"/>
              </w:rPr>
              <w:t xml:space="preserve">       </w:t>
            </w:r>
            <w:hyperlink w:history="true" r:id="Rea8ad6893f9e484f">
              <w:r>
                <w:rPr>
                  <w:rStyle w:val="Hyperlink"/>
                  <w:color w:val="244061"/>
                </w:rPr>
                <w:t xml:space="preserve">Health</w:t>
              </w:r>
            </w:hyperlink>
            <w:r>
              <w:rPr>
                <w:rStyle w:val="row-content"/>
                <w:color w:val="244061"/>
              </w:rPr>
              <w:t xml:space="preserve">, Standard 02/08/2017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45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‘evidence’ means that the patient has had both a pain and function assessment using clinically validated tools, and that the results of both tests are documented in the clinical notes maintained by the practice for the patient (paper or electronic). Providers of care to patients with knee osteoarthritis can use local tools, but need to ensure that the same tools are used with the same patients at different time points to measure change. These assessments should be undertaken at least every 12 months. Both assessments need to have been undertaken for the patient to be counted in the numerator.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knee osteoarthritis with evidence of having had both pain and function assessments within the past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knee osteoarthritis.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has been adapted from </w:t>
            </w:r>
            <w:r>
              <w:rPr>
                <w:rStyle w:val="row-content-rich-text"/>
                <w:i/>
              </w:rPr>
              <w:t xml:space="preserve">Measuring quality in arthritis care: the Arthritis Foundation's Quality Indicator set for osteoarthritis</w:t>
            </w:r>
            <w:r>
              <w:rPr>
                <w:rStyle w:val="row-content-rich-text"/>
              </w:rPr>
              <w:t xml:space="preserve"> (Pencharz &amp; MacLean 2004).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setting: all healthcare settings where care is provided to patients with knee osteoarthritis, including primary care, specialist care, hospitals and community settings.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Pencharz JN, &amp; MacLean CH 2004. Measuring quality in arthritis care: the Arthritis Foundation's Quality Indicator set for osteoarthritis. Arthritis Rheumatology 51(4):538-548.</w:t>
            </w:r>
          </w:p>
        </w:tc>
      </w:tr>
    </w:tbl>
    <w:p>
      <w:r>
        <w:br/>
      </w:r>
    </w:p>
    <w:sectPr>
      <w:footerReference xmlns:r="http://schemas.openxmlformats.org/officeDocument/2006/relationships" w:type="default" r:id="R7e3a115b19a145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644314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b210597da89490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3a115b19a14599" /><Relationship Type="http://schemas.openxmlformats.org/officeDocument/2006/relationships/header" Target="/word/header1.xml" Id="R700a854c79804781" /><Relationship Type="http://schemas.openxmlformats.org/officeDocument/2006/relationships/settings" Target="/word/settings.xml" Id="R89de903a7a6e4e49" /><Relationship Type="http://schemas.openxmlformats.org/officeDocument/2006/relationships/styles" Target="/word/styles.xml" Id="Rd7bb96ecef0f4e0c" /><Relationship Type="http://schemas.openxmlformats.org/officeDocument/2006/relationships/hyperlink" Target="https://meteor.aihw.gov.au/RegistrationAuthority/12" TargetMode="External" Id="R9403165889254405" /><Relationship Type="http://schemas.openxmlformats.org/officeDocument/2006/relationships/hyperlink" Target="https://meteor.aihw.gov.au/content/644538" TargetMode="External" Id="Rcf3e1b4982f241fa" /><Relationship Type="http://schemas.openxmlformats.org/officeDocument/2006/relationships/hyperlink" Target="https://meteor.aihw.gov.au/content/644256" TargetMode="External" Id="R2a529b9e3492439e" /><Relationship Type="http://schemas.openxmlformats.org/officeDocument/2006/relationships/hyperlink" Target="https://meteor.aihw.gov.au/RegistrationAuthority/12" TargetMode="External" Id="Rea8ad6893f9e484f" /></Relationships>
</file>

<file path=word/_rels/header1.xml.rels>&#65279;<?xml version="1.0" encoding="utf-8"?><Relationships xmlns="http://schemas.openxmlformats.org/package/2006/relationships"><Relationship Type="http://schemas.openxmlformats.org/officeDocument/2006/relationships/image" Target="/media/image.png" Id="R2b210597da894905" /></Relationships>
</file>