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db711861143f5"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5c-Proportion of patients prescribed opioids for longer than three months for the management of pain associated with knee osteoarthritis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5c-Proportion of patients prescribed opioids for longer than three months for the management of pain associated with knee 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5c-Proportion of patients prescribed opioids for longer than three months for the management of pain associated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96787d33b4359">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prescribed opioids for longer than three months for the management of pain associated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6afcce20026944d8">
              <w:r>
                <w:rPr>
                  <w:rStyle w:val="Hyperlink"/>
                  <w:b/>
                </w:rPr>
                <w:t xml:space="preserve">osteoarthritis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Opioids are associated with adverse events (including dependence), which are sometimes very serious (Nuesch et al. 2009). There are additional risks for older people, where the increased likelihood of a fall with opioid use can lead to serious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7185fbcc1d45e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ca12d3392c1c4970">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percentage.</w:t>
            </w:r>
          </w:p>
          <w:p>
            <w:pPr/>
            <w:r>
              <w:rPr>
                <w:rStyle w:val="row-content-rich-text"/>
              </w:rPr>
              <w:t xml:space="preserve">Health services determine the number of patients prescribed opioids for longer than three months through an audit of all the patients with knee osteoarthritis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prescribed opioids for longer than three months for the management of pain associated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opioids are used, they should be prescribed on a short-term basis, with regular review of treatment response and adverse effects.</w:t>
            </w:r>
          </w:p>
          <w:p>
            <w:pPr>
              <w:spacing w:after="160"/>
            </w:pPr>
            <w:r>
              <w:rPr>
                <w:rStyle w:val="row-content-rich-text"/>
              </w:rPr>
              <w:t xml:space="preserve">A clear plan for ceasing ineffective therapy should be in place and discussed with the patient. If treatment response is inadequate, caution should be exercised when increasing the dose of opioids as there is an increased risk of harm and potentially no added benefit.</w:t>
            </w:r>
          </w:p>
          <w:p>
            <w:pPr>
              <w:spacing w:after="160"/>
            </w:pPr>
            <w:r>
              <w:rPr>
                <w:rStyle w:val="row-content-rich-text"/>
              </w:rPr>
              <w:t xml:space="preserve">Prolonged use of opioids indicates the need for specialist assessment.</w:t>
            </w:r>
          </w:p>
          <w:p>
            <w:pPr/>
            <w:r>
              <w:rPr>
                <w:rStyle w:val="row-content-rich-text"/>
              </w:rPr>
              <w:t xml:space="preserve">Note that health services may not necessarily achieve 0% for this indicator, even when providing appropriate treatment, as there may be patients for whom opioids are the most appropriate drug for longer than three months. In these instances, this indicator should be used to review the appropriateness of the use of opioids for longer than three months for these patients, and to monitor the health service’s level of use of opioids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primary and specialist care (including hospital-based specialist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Nuesch E, Rutjes AW, Husni E, Welch V &amp; Juni P 2009. Oral or transdermal opioids for osteoarthritis of the knee or hip. Cochrane Database of Systematic Reviews(4): CD003115.</w:t>
            </w:r>
          </w:p>
        </w:tc>
      </w:tr>
    </w:tbl>
    <w:p>
      <w:r>
        <w:br/>
      </w:r>
    </w:p>
    <w:sectPr>
      <w:footerReference xmlns:r="http://schemas.openxmlformats.org/officeDocument/2006/relationships" w:type="default" r:id="R99844052404b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3b16ffe59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44052404b4078" /><Relationship Type="http://schemas.openxmlformats.org/officeDocument/2006/relationships/header" Target="/word/header1.xml" Id="R950f0e853ef9487a" /><Relationship Type="http://schemas.openxmlformats.org/officeDocument/2006/relationships/settings" Target="/word/settings.xml" Id="R0ba0768e70ac417d" /><Relationship Type="http://schemas.openxmlformats.org/officeDocument/2006/relationships/styles" Target="/word/styles.xml" Id="R83e01604f8784ae1" /><Relationship Type="http://schemas.openxmlformats.org/officeDocument/2006/relationships/hyperlink" Target="https://meteor.aihw.gov.au/RegistrationAuthority/12" TargetMode="External" Id="R82d96787d33b4359" /><Relationship Type="http://schemas.openxmlformats.org/officeDocument/2006/relationships/hyperlink" Target="https://meteor.aihw.gov.au/content/644538" TargetMode="External" Id="R6afcce20026944d8" /><Relationship Type="http://schemas.openxmlformats.org/officeDocument/2006/relationships/hyperlink" Target="https://meteor.aihw.gov.au/content/644256" TargetMode="External" Id="Rc07185fbcc1d45eb" /><Relationship Type="http://schemas.openxmlformats.org/officeDocument/2006/relationships/hyperlink" Target="https://meteor.aihw.gov.au/RegistrationAuthority/12" TargetMode="External" Id="Rca12d3392c1c4970" /></Relationships>
</file>

<file path=word/_rels/header1.xml.rels>&#65279;<?xml version="1.0" encoding="utf-8"?><Relationships xmlns="http://schemas.openxmlformats.org/package/2006/relationships"><Relationship Type="http://schemas.openxmlformats.org/officeDocument/2006/relationships/image" Target="/media/image.png" Id="R1113b16ffe594460" /></Relationships>
</file>