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906363a144944"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3-Proportion of patients newly diagnosed with knee osteoarthritis who have an individualised self-management plan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3-Proportion of patients newly diagnosed with knee osteoarthritis who have an individualised self-management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3-Proportion of patients newly diagnosed with knee osteoarthritis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8ca2d9fa64de0">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99034de38b3c4fa2">
              <w:r>
                <w:rPr>
                  <w:rStyle w:val="Hyperlink"/>
                  <w:b/>
                </w:rPr>
                <w:t xml:space="preserve">osteoarthritis</w:t>
              </w:r>
            </w:hyperlink>
            <w:r>
              <w:rPr>
                <w:rStyle w:val="row-content-rich-text"/>
              </w:rPr>
              <w:t xml:space="preserve">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Self-management of osteoarthritis can improve patient outcomes, including better pain control and better physical function (Hurley et al. 2012; Ravaud et al.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fe5a88045f40bb">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804ac4f9c2994b05">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newly diagnosed with knee osteoarthritis. ‘Newly diagnosed’ means the patient was diagnosed or referred with knee osteoarthritis in the last three months.</w:t>
            </w:r>
          </w:p>
          <w:p>
            <w:pPr>
              <w:spacing w:after="160"/>
            </w:pPr>
            <w:r>
              <w:rPr>
                <w:rStyle w:val="row-content-rich-text"/>
              </w:rPr>
              <w:t xml:space="preserve">For the numerator, an ‘individualised self-management’ plan is a mutually agreed plan between the patient and the clinician that reflects the patient’s preferences, and includes agreed decisions for care. The plan should contain information about the nature and progression of the patient’s condition (i.e. considering their knee osteoarthritis and any comorbidities), treatment goals, exercises specific to their condition, pacing activities, management of painful episodes, management of medicines, strategies for protecting knee joints, the need to maintain a healthy weight and/or weight loss guidance, and where to find further information and support groups.</w:t>
            </w:r>
          </w:p>
          <w:p>
            <w:pPr>
              <w:spacing w:after="160"/>
            </w:pPr>
            <w:r>
              <w:rPr>
                <w:rStyle w:val="row-content-rich-text"/>
              </w:rPr>
              <w:t xml:space="preserve">Both the numerator and the denominator exclude patients who have been clinically assessed as being unable to self-manage their condition (e.g. cognitively impaired patients).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chronic care program model of care</w:t>
            </w:r>
            <w:r>
              <w:rPr>
                <w:rStyle w:val="row-content-rich-text"/>
              </w:rPr>
              <w:t xml:space="preserve"> (ACI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2012. Osteoarthritis Chronic Care Program Model of Care. Sydney: ACI.</w:t>
            </w:r>
          </w:p>
          <w:p>
            <w:pPr>
              <w:spacing w:after="160"/>
            </w:pPr>
            <w:r>
              <w:rPr>
                <w:rStyle w:val="row-content-rich-text"/>
              </w:rPr>
              <w:t xml:space="preserve">Hurley MV, Walsh NE, Mitchell H, Nicholas J &amp; Patel A. 2012. Long-term outcomes and costs of an integrated rehabilitation program for chronic knee pain: a pragmatic, cluster randomized, controlled trial. Arthritis Care Research 64(2): 238-247.</w:t>
            </w:r>
          </w:p>
          <w:p>
            <w:pPr/>
            <w:r>
              <w:rPr>
                <w:rStyle w:val="row-content-rich-text"/>
              </w:rPr>
              <w:t xml:space="preserve">Ravaud P et al. 2009. ARTIST (osteoarthritis intervention standardized) study of standardised consultation versus usual care for patients with osteoarthritis of the knee in primary care in France: pragmatic randomised controlled trial. BMJ 338: b421.</w:t>
            </w:r>
          </w:p>
        </w:tc>
      </w:tr>
    </w:tbl>
    <w:p>
      <w:r>
        <w:br/>
      </w:r>
    </w:p>
    <w:sectPr>
      <w:footerReference xmlns:r="http://schemas.openxmlformats.org/officeDocument/2006/relationships" w:type="default" r:id="R35ae4c580183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6307152ec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e4c5801834cd2" /><Relationship Type="http://schemas.openxmlformats.org/officeDocument/2006/relationships/header" Target="/word/header1.xml" Id="R1b98f0f6a90c4e75" /><Relationship Type="http://schemas.openxmlformats.org/officeDocument/2006/relationships/settings" Target="/word/settings.xml" Id="Rbe439a86405f4811" /><Relationship Type="http://schemas.openxmlformats.org/officeDocument/2006/relationships/styles" Target="/word/styles.xml" Id="R13f423439cb54d49" /><Relationship Type="http://schemas.openxmlformats.org/officeDocument/2006/relationships/hyperlink" Target="https://meteor.aihw.gov.au/RegistrationAuthority/12" TargetMode="External" Id="Ra998ca2d9fa64de0" /><Relationship Type="http://schemas.openxmlformats.org/officeDocument/2006/relationships/hyperlink" Target="https://meteor.aihw.gov.au/content/644538" TargetMode="External" Id="R99034de38b3c4fa2" /><Relationship Type="http://schemas.openxmlformats.org/officeDocument/2006/relationships/hyperlink" Target="https://meteor.aihw.gov.au/content/644256" TargetMode="External" Id="R40fe5a88045f40bb" /><Relationship Type="http://schemas.openxmlformats.org/officeDocument/2006/relationships/hyperlink" Target="https://meteor.aihw.gov.au/RegistrationAuthority/12" TargetMode="External" Id="R804ac4f9c2994b05" /></Relationships>
</file>

<file path=word/_rels/header1.xml.rels>&#65279;<?xml version="1.0" encoding="utf-8"?><Relationships xmlns="http://schemas.openxmlformats.org/package/2006/relationships"><Relationship Type="http://schemas.openxmlformats.org/officeDocument/2006/relationships/image" Target="/media/image.png" Id="R0676307152ec4983" /></Relationships>
</file>