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d338918966446a" /></Relationships>
</file>

<file path=word/document.xml><?xml version="1.0" encoding="utf-8"?>
<w:document xmlns:r="http://schemas.openxmlformats.org/officeDocument/2006/relationships" xmlns:w="http://schemas.openxmlformats.org/wordprocessingml/2006/main">
  <w:body>
    <w:p>
      <w:pPr>
        <w:pStyle w:val="Title"/>
      </w:pPr>
      <w:r>
        <w:t>Public hospital revenue streams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revenue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ac83ea37a8418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revenue relating to public hospitals.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Compensable schemes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patient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Commonwealth funding/subsidies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or territory health authority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state or territory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National Health Funding Pool - state or territory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Health Funding Pool - Commonwealth government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Infrastructure/facility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Revenue not elsewhere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Department of Veterans' Affairs</w:t>
            </w:r>
          </w:p>
          <w:p>
            <w:pPr>
              <w:spacing w:after="160"/>
            </w:pPr>
            <w:r>
              <w:rPr>
                <w:rStyle w:val="row-content-rich-text"/>
              </w:rPr>
              <w:t xml:space="preserve">All Department of Veterans' Affairs (DVA) patient revenue received by an establishment in respect of individual patient liability for accommodation and other establishment charges.</w:t>
            </w:r>
          </w:p>
          <w:p>
            <w:pPr>
              <w:spacing w:after="160"/>
            </w:pPr>
            <w:r>
              <w:rPr>
                <w:rStyle w:val="row-content-rich-text"/>
              </w:rPr>
              <w:t xml:space="preserve">Includes revenues received for health services provided to veterans, war widows and widowers with gold or white DVA cards. Types of services include public and private hospitals, local medical officers and specialists, residential aged care subsidy, allied health, rehabilitation appliances, dental services, community nursing, Veterans' Home Care and travel for treatment.</w:t>
            </w:r>
          </w:p>
          <w:p>
            <w:pPr>
              <w:spacing w:after="160"/>
            </w:pPr>
            <w:r>
              <w:rPr>
                <w:rStyle w:val="row-content-rich-text"/>
              </w:rPr>
              <w:t xml:space="preserve">Excludes revenues received for pharmaceuticals provided to veterans, war widows and widowers with gold, white or orange DVA cards. Also excludes revenue received from the Department of Defence.</w:t>
            </w:r>
          </w:p>
          <w:p>
            <w:pPr>
              <w:spacing w:after="160"/>
            </w:pPr>
            <w:r>
              <w:rPr>
                <w:rStyle w:val="row-content-rich-text"/>
              </w:rPr>
              <w:t xml:space="preserve">CODE 2   Compensable schemes</w:t>
            </w:r>
          </w:p>
          <w:p>
            <w:pPr>
              <w:spacing w:after="160"/>
            </w:pPr>
            <w:r>
              <w:rPr>
                <w:rStyle w:val="row-content-rich-text"/>
              </w:rPr>
              <w:t xml:space="preserve">All revenue from compensation schemes received by an establishment in respect of individual patient liability for accommodation and other establishment charges.</w:t>
            </w:r>
          </w:p>
          <w:p>
            <w:pPr>
              <w:spacing w:after="160"/>
            </w:pPr>
            <w:r>
              <w:rPr>
                <w:rStyle w:val="row-content-rich-text"/>
              </w:rPr>
              <w:t xml:space="preserve">Compensation schemes for this data element include workers compensation insurance, motor vehicle third party insurance and other compensation (e.g. public liability, common law, medical negligence).</w:t>
            </w:r>
          </w:p>
          <w:p>
            <w:pPr>
              <w:spacing w:after="160"/>
            </w:pPr>
            <w:r>
              <w:rPr>
                <w:rStyle w:val="row-content-rich-text"/>
              </w:rPr>
              <w:t xml:space="preserve">Workers compensation insurance includes benefits paid under workers compensation insurance to the establishment provided to workers, including trainees and apprentices, who have experienced a work-related injury. Type of benefits includes fees for medical or related treatment.</w:t>
            </w:r>
          </w:p>
          <w:p>
            <w:pPr>
              <w:spacing w:after="160"/>
            </w:pPr>
            <w:r>
              <w:rPr>
                <w:rStyle w:val="row-content-rich-text"/>
              </w:rPr>
              <w:t xml:space="preserve">Motor vehicle third party insurance includes personal injury claims arising from motor accidents and compensation for accident victims and their families for injuries or death.</w:t>
            </w:r>
          </w:p>
          <w:p>
            <w:pPr>
              <w:spacing w:after="160"/>
            </w:pPr>
            <w:r>
              <w:rPr>
                <w:rStyle w:val="row-content-rich-text"/>
              </w:rPr>
              <w:t xml:space="preserve">Other compensation includes revenues received from benefits paid under public liability, common law and medical negligence. Also includes revenue from:</w:t>
            </w:r>
          </w:p>
          <w:p>
            <w:pPr>
              <w:pStyle w:val="ListParagraph"/>
              <w:numPr>
                <w:ilvl w:val="0"/>
                <w:numId w:val="2"/>
              </w:numPr>
            </w:pPr>
            <w:r>
              <w:rPr>
                <w:rStyle w:val="row-content-rich-text"/>
              </w:rPr>
              <w:t xml:space="preserve">accident and sickness insurance</w:t>
            </w:r>
          </w:p>
          <w:p>
            <w:pPr>
              <w:pStyle w:val="ListParagraph"/>
              <w:numPr>
                <w:ilvl w:val="0"/>
                <w:numId w:val="2"/>
              </w:numPr>
            </w:pPr>
            <w:r>
              <w:rPr>
                <w:rStyle w:val="row-content-rich-text"/>
              </w:rPr>
              <w:t xml:space="preserve">life insurance</w:t>
            </w:r>
          </w:p>
          <w:p>
            <w:pPr>
              <w:pStyle w:val="ListParagraph"/>
              <w:numPr>
                <w:ilvl w:val="0"/>
                <w:numId w:val="2"/>
              </w:numPr>
            </w:pPr>
            <w:r>
              <w:rPr>
                <w:rStyle w:val="row-content-rich-text"/>
              </w:rPr>
              <w:t xml:space="preserve">general insurance</w:t>
            </w:r>
          </w:p>
          <w:p>
            <w:pPr>
              <w:pStyle w:val="ListParagraph"/>
              <w:numPr>
                <w:ilvl w:val="0"/>
                <w:numId w:val="2"/>
              </w:numPr>
            </w:pPr>
            <w:r>
              <w:rPr>
                <w:rStyle w:val="row-content-rich-text"/>
              </w:rPr>
              <w:t xml:space="preserve">other insurance business excluded by the Private Health Insurance (Health Insurance Business) Rules</w:t>
            </w:r>
          </w:p>
          <w:p>
            <w:pPr>
              <w:pStyle w:val="ListParagraph"/>
              <w:numPr>
                <w:ilvl w:val="0"/>
                <w:numId w:val="2"/>
              </w:numPr>
            </w:pPr>
            <w:r>
              <w:rPr>
                <w:rStyle w:val="row-content-rich-text"/>
              </w:rPr>
              <w:t xml:space="preserve">overseas visitors for whom travel insurance is the major funding source.</w:t>
            </w:r>
          </w:p>
          <w:p>
            <w:pPr>
              <w:spacing w:after="160"/>
            </w:pPr>
            <w:r>
              <w:rPr>
                <w:rStyle w:val="row-content-rich-text"/>
              </w:rPr>
              <w:t xml:space="preserve">CODE 3   Other patient revenue</w:t>
            </w:r>
          </w:p>
          <w:p>
            <w:pPr>
              <w:spacing w:after="160"/>
            </w:pPr>
            <w:r>
              <w:rPr>
                <w:rStyle w:val="row-content-rich-text"/>
              </w:rPr>
              <w:t xml:space="preserve">All revenue received by an establishment in respect of individual patient liability for accommodation and other establishment charges, but excluding Department of Veterans' Affairs and compensation scheme patient revenue.</w:t>
            </w:r>
          </w:p>
          <w:p>
            <w:pPr>
              <w:spacing w:after="160"/>
            </w:pPr>
            <w:r>
              <w:rPr>
                <w:rStyle w:val="row-content-rich-text"/>
              </w:rPr>
              <w:t xml:space="preserve">Other patient revenue includes revenue from private health insurance. Private health insurance includes revenue from businesses mainly engaged in providing insurance cover for hospital, medical, dental or pharmaceutical expenses or costs. Includes revenue received from the Department of Defence.</w:t>
            </w:r>
          </w:p>
          <w:p>
            <w:pPr>
              <w:spacing w:after="160"/>
            </w:pPr>
            <w:r>
              <w:rPr>
                <w:rStyle w:val="row-content-rich-text"/>
              </w:rPr>
              <w:t xml:space="preserve">Excludes:</w:t>
            </w:r>
          </w:p>
          <w:p>
            <w:pPr>
              <w:pStyle w:val="ListParagraph"/>
              <w:numPr>
                <w:ilvl w:val="0"/>
                <w:numId w:val="3"/>
              </w:numPr>
            </w:pPr>
            <w:r>
              <w:rPr>
                <w:rStyle w:val="row-content-rich-text"/>
              </w:rPr>
              <w:t xml:space="preserve">Accident and sickness insurance</w:t>
            </w:r>
          </w:p>
          <w:p>
            <w:pPr>
              <w:pStyle w:val="ListParagraph"/>
              <w:numPr>
                <w:ilvl w:val="0"/>
                <w:numId w:val="3"/>
              </w:numPr>
            </w:pPr>
            <w:r>
              <w:rPr>
                <w:rStyle w:val="row-content-rich-text"/>
              </w:rPr>
              <w:t xml:space="preserve">Liability insurance</w:t>
            </w:r>
          </w:p>
          <w:p>
            <w:pPr>
              <w:pStyle w:val="ListParagraph"/>
              <w:numPr>
                <w:ilvl w:val="0"/>
                <w:numId w:val="3"/>
              </w:numPr>
            </w:pPr>
            <w:r>
              <w:rPr>
                <w:rStyle w:val="row-content-rich-text"/>
              </w:rPr>
              <w:t xml:space="preserve">Life insurance</w:t>
            </w:r>
          </w:p>
          <w:p>
            <w:pPr>
              <w:pStyle w:val="ListParagraph"/>
              <w:numPr>
                <w:ilvl w:val="0"/>
                <w:numId w:val="3"/>
              </w:numPr>
            </w:pPr>
            <w:r>
              <w:rPr>
                <w:rStyle w:val="row-content-rich-text"/>
              </w:rPr>
              <w:t xml:space="preserve">General insurance</w:t>
            </w:r>
          </w:p>
          <w:p>
            <w:pPr>
              <w:pStyle w:val="ListParagraph"/>
              <w:numPr>
                <w:ilvl w:val="0"/>
                <w:numId w:val="3"/>
              </w:numPr>
            </w:pPr>
            <w:r>
              <w:rPr>
                <w:rStyle w:val="row-content-rich-text"/>
              </w:rPr>
              <w:t xml:space="preserve">Other insurance business excluded by the Private Health Insurance (Health Insurance Business) Rules</w:t>
            </w:r>
          </w:p>
          <w:p>
            <w:pPr>
              <w:pStyle w:val="ListParagraph"/>
              <w:numPr>
                <w:ilvl w:val="0"/>
                <w:numId w:val="3"/>
              </w:numPr>
            </w:pPr>
            <w:r>
              <w:rPr>
                <w:rStyle w:val="row-content-rich-text"/>
              </w:rPr>
              <w:t xml:space="preserve">Overseas visitors for whom travel insurance is the major funding source.</w:t>
            </w:r>
          </w:p>
          <w:p>
            <w:pPr>
              <w:spacing w:after="160"/>
            </w:pPr>
            <w:r>
              <w:rPr>
                <w:rStyle w:val="row-content-rich-text"/>
              </w:rPr>
              <w:t xml:space="preserve">CODE 4   Commonwealth funding/subsidies</w:t>
            </w:r>
          </w:p>
          <w:p>
            <w:pPr>
              <w:spacing w:after="160"/>
            </w:pPr>
            <w:r>
              <w:rPr>
                <w:rStyle w:val="row-content-rich-text"/>
              </w:rPr>
              <w:t xml:space="preserve">All revenue paid directly by the Commonwealth Government to an establishment for services within the scope of the collection.</w:t>
            </w:r>
          </w:p>
          <w:p>
            <w:pPr>
              <w:spacing w:after="160"/>
            </w:pPr>
            <w:r>
              <w:rPr>
                <w:rStyle w:val="row-content-rich-text"/>
              </w:rPr>
              <w:t xml:space="preserve">Includes funding for transition care, residential aged care subsidies (including MPS payments), aged care assessment, Home and Community Care and Section 100 drugs. Excludes payments related to the National Health Funding Pool.</w:t>
            </w:r>
          </w:p>
          <w:p>
            <w:pPr>
              <w:spacing w:after="160"/>
            </w:pPr>
            <w:r>
              <w:rPr>
                <w:rStyle w:val="row-content-rich-text"/>
              </w:rPr>
              <w:t xml:space="preserve">CODE 5   State or territory health authority funding</w:t>
            </w:r>
          </w:p>
          <w:p>
            <w:pPr>
              <w:spacing w:after="160"/>
            </w:pPr>
            <w:r>
              <w:rPr>
                <w:rStyle w:val="row-content-rich-text"/>
              </w:rPr>
              <w:t xml:space="preserve">All revenue provided by the state or territory health authority, used by an establishment to support the delivery and/or administration of services within the scope of the collection. Excludes payments related to the National Health Funding Pool.</w:t>
            </w:r>
          </w:p>
          <w:p>
            <w:pPr>
              <w:spacing w:after="160"/>
            </w:pPr>
            <w:r>
              <w:rPr>
                <w:rStyle w:val="row-content-rich-text"/>
              </w:rPr>
              <w:t xml:space="preserve">CODE 6  Other state or territory funding</w:t>
            </w:r>
          </w:p>
          <w:p>
            <w:pPr>
              <w:spacing w:after="160"/>
            </w:pPr>
            <w:r>
              <w:rPr>
                <w:rStyle w:val="row-content-rich-text"/>
              </w:rPr>
              <w:t xml:space="preserve">All revenue provided by state or territory funding sources from government departments external to the state/territory health authority used to support the delivery and/or administration of services within the scope of the collection.</w:t>
            </w:r>
          </w:p>
          <w:p>
            <w:pPr>
              <w:spacing w:after="160"/>
            </w:pPr>
            <w:r>
              <w:rPr>
                <w:rStyle w:val="row-content-rich-text"/>
              </w:rPr>
              <w:t xml:space="preserve">CODE 7   National Health Funding Pool - state or territory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 Includes only those funds in the pool that were provided by the state or territory government.</w:t>
            </w:r>
          </w:p>
          <w:p>
            <w:pPr>
              <w:spacing w:after="160"/>
            </w:pPr>
            <w:r>
              <w:rPr>
                <w:rStyle w:val="row-content-rich-text"/>
              </w:rPr>
              <w:t xml:space="preserve">CODE 8   National Health Funding Pool - Commonwealth government component</w:t>
            </w:r>
          </w:p>
          <w:p>
            <w:pPr>
              <w:spacing w:after="160"/>
            </w:pPr>
            <w:r>
              <w:rPr>
                <w:rStyle w:val="row-content-rich-text"/>
              </w:rPr>
              <w:t xml:space="preserve">Revenue provided by the National Health Funding Pool, including Activity Based Funding payments, used by an establishment to support the delivery and/or administration of services within the scope of the collection.</w:t>
            </w:r>
          </w:p>
          <w:p>
            <w:pPr>
              <w:spacing w:after="160"/>
            </w:pPr>
            <w:r>
              <w:rPr>
                <w:rStyle w:val="row-content-rich-text"/>
              </w:rPr>
              <w:t xml:space="preserve">Includes only those funds in the pool that were provided by the Commonwealth government. Amounts recorded in the general ledger may differ from the health funding paid by the Commonwealth government to the state/territory government within the same financial period.</w:t>
            </w:r>
          </w:p>
          <w:p>
            <w:pPr>
              <w:spacing w:after="160"/>
            </w:pPr>
            <w:r>
              <w:rPr>
                <w:rStyle w:val="row-content-rich-text"/>
              </w:rPr>
              <w:t xml:space="preserve">CODE 9   Infrastructure/facility fees</w:t>
            </w:r>
          </w:p>
          <w:p>
            <w:pPr>
              <w:spacing w:after="160"/>
            </w:pPr>
            <w:r>
              <w:rPr>
                <w:rStyle w:val="row-content-rich-text"/>
              </w:rPr>
              <w:t xml:space="preserve">All infrastructure or facility fees revenue received by an establishment.</w:t>
            </w:r>
          </w:p>
          <w:p>
            <w:pPr>
              <w:spacing w:after="160"/>
            </w:pPr>
            <w:r>
              <w:rPr>
                <w:rStyle w:val="row-content-rich-text"/>
              </w:rPr>
              <w:t xml:space="preserve">Infrastructure or facility fees are income received from the use of hospital facilities by salaried medical officers exercising their rights of private practice and by private practitioners treating private patients in hospital.</w:t>
            </w:r>
          </w:p>
          <w:p>
            <w:pPr>
              <w:spacing w:after="160"/>
            </w:pPr>
            <w:r>
              <w:rPr>
                <w:rStyle w:val="row-content-rich-text"/>
              </w:rPr>
              <w:t xml:space="preserve">CODE 10   Other recoveries</w:t>
            </w:r>
          </w:p>
          <w:p>
            <w:pPr>
              <w:spacing w:after="160"/>
            </w:pPr>
            <w:r>
              <w:rPr>
                <w:rStyle w:val="row-content-rich-text"/>
              </w:rPr>
              <w:t xml:space="preserve">Revenue that is in the nature of a recovery or expenditure incurred, including income from provision of meals and accommodation, but excluding infrastructure and facility fees.</w:t>
            </w:r>
          </w:p>
          <w:p>
            <w:pPr>
              <w:spacing w:after="160"/>
            </w:pPr>
            <w:r>
              <w:rPr>
                <w:rStyle w:val="row-content-rich-text"/>
              </w:rPr>
              <w:t xml:space="preserve">CODE 11   Revenue not elsewhere reported</w:t>
            </w:r>
          </w:p>
          <w:p>
            <w:pPr>
              <w:spacing w:after="160"/>
            </w:pPr>
            <w:r>
              <w:rPr>
                <w:rStyle w:val="row-content-rich-text"/>
              </w:rPr>
              <w:t xml:space="preserve">Revenue that was received by the establishment that has not been reported elsewhere.</w:t>
            </w:r>
          </w:p>
          <w:p>
            <w:pPr/>
            <w:r>
              <w:rPr>
                <w:rStyle w:val="row-content-rich-text"/>
              </w:rPr>
              <w:t xml:space="preserve">Includes revenue received by the establishment for the provision of services under contracted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trillions of dollars. Rounded to nearest whole dollar.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1c2a646464cf5">
              <w:r>
                <w:rPr>
                  <w:rStyle w:val="Hyperlink"/>
                </w:rPr>
                <w:t xml:space="preserve">Public hospital revenue streams code N[N]</w:t>
              </w:r>
            </w:hyperlink>
          </w:p>
          <w:p>
            <w:pPr>
              <w:spacing w:before="0" w:after="0"/>
            </w:pPr>
            <w:r>
              <w:rPr>
                <w:rStyle w:val="row-content"/>
                <w:color w:val="244061"/>
              </w:rPr>
              <w:t xml:space="preserve">       </w:t>
            </w:r>
            <w:hyperlink w:history="true" r:id="Rbca634cc4715429f">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fd595d3bc394428">
              <w:r>
                <w:rPr>
                  <w:rStyle w:val="Hyperlink"/>
                </w:rPr>
                <w:t xml:space="preserve">Establishment—public hospital recurrent expenditure related revenue, revenue streams code N[N]</w:t>
              </w:r>
            </w:hyperlink>
          </w:p>
          <w:p>
            <w:pPr>
              <w:spacing w:before="0" w:after="0"/>
            </w:pPr>
            <w:r>
              <w:rPr>
                <w:rStyle w:val="row-content"/>
                <w:color w:val="244061"/>
              </w:rPr>
              <w:t xml:space="preserve">       </w:t>
            </w:r>
            <w:hyperlink w:history="true" r:id="Rf10d0fa896554393">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741b7bcd336c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37259f84a94e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b7bcd336c41d8" /><Relationship Type="http://schemas.openxmlformats.org/officeDocument/2006/relationships/header" Target="/word/header1.xml" Id="R679c8ddb83d84f5c" /><Relationship Type="http://schemas.openxmlformats.org/officeDocument/2006/relationships/settings" Target="/word/settings.xml" Id="R36eda9d7075141cf" /><Relationship Type="http://schemas.openxmlformats.org/officeDocument/2006/relationships/styles" Target="/word/styles.xml" Id="Rb1a1af73a00148eb" /><Relationship Type="http://schemas.openxmlformats.org/officeDocument/2006/relationships/hyperlink" Target="https://meteor.aihw.gov.au/RegistrationAuthority/12" TargetMode="External" Id="R41ac83ea37a84188" /><Relationship Type="http://schemas.openxmlformats.org/officeDocument/2006/relationships/numbering" Target="/word/numbering.xml" Id="R0ae771ea74ea4fc3" /><Relationship Type="http://schemas.openxmlformats.org/officeDocument/2006/relationships/hyperlink" Target="https://meteor.aihw.gov.au/content/542022" TargetMode="External" Id="R9391c2a646464cf5" /><Relationship Type="http://schemas.openxmlformats.org/officeDocument/2006/relationships/hyperlink" Target="https://meteor.aihw.gov.au/RegistrationAuthority/12" TargetMode="External" Id="Rbca634cc4715429f" /><Relationship Type="http://schemas.openxmlformats.org/officeDocument/2006/relationships/hyperlink" Target="https://meteor.aihw.gov.au/content/643082" TargetMode="External" Id="Rdfd595d3bc394428" /><Relationship Type="http://schemas.openxmlformats.org/officeDocument/2006/relationships/hyperlink" Target="https://meteor.aihw.gov.au/RegistrationAuthority/12" TargetMode="External" Id="Rf10d0fa896554393" /></Relationships>
</file>

<file path=word/_rels/header1.xml.rels>&#65279;<?xml version="1.0" encoding="utf-8"?><Relationships xmlns="http://schemas.openxmlformats.org/package/2006/relationships"><Relationship Type="http://schemas.openxmlformats.org/officeDocument/2006/relationships/image" Target="/media/image.png" Id="R7537259f84a94eb3" /></Relationships>
</file>