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8caff164d414566" /></Relationships>
</file>

<file path=word/document.xml><?xml version="1.0" encoding="utf-8"?>
<w:document xmlns:r="http://schemas.openxmlformats.org/officeDocument/2006/relationships" xmlns:w="http://schemas.openxmlformats.org/wordprocessingml/2006/main">
  <w:body>
    <w:p>
      <w:pPr>
        <w:pStyle w:val="Title"/>
      </w:pPr>
      <w:r>
        <w:t>Episode of care—additional diagnosis, code (ICD-10-AM 10th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care—additional diagnosis, code (ICD-10-AM 10th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641014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99146f6d8c46c9">
              <w:r>
                <w:rPr>
                  <w:rStyle w:val="Hyperlink"/>
                  <w:color w:val="244061"/>
                </w:rPr>
                <w:t xml:space="preserve">Health</w:t>
              </w:r>
            </w:hyperlink>
            <w:r>
              <w:rPr>
                <w:rStyle w:val="row-content"/>
                <w:color w:val="244061"/>
              </w:rPr>
              <w:t xml:space="preserve">, Superseded 25/01/2018</w:t>
            </w:r>
          </w:p>
          <w:p>
            <w:pPr>
              <w:spacing w:before="0" w:after="0"/>
            </w:pPr>
            <w:hyperlink w:history="true" r:id="Rbc2f5c1f6f444e5b">
              <w:r>
                <w:rPr>
                  <w:rStyle w:val="Hyperlink"/>
                  <w:color w:val="244061"/>
                </w:rPr>
                <w:t xml:space="preserve">Independent Hospital Pricing Authority</w:t>
              </w:r>
            </w:hyperlink>
            <w:r>
              <w:rPr>
                <w:rStyle w:val="row-content"/>
                <w:color w:val="244061"/>
              </w:rPr>
              <w:t xml:space="preserve">, Recorded 04/08/2016</w:t>
            </w:r>
          </w:p>
          <w:p>
            <w:pPr>
              <w:spacing w:before="0" w:after="0"/>
            </w:pPr>
            <w:hyperlink w:history="true" r:id="R7e8bc380989c443f">
              <w:r>
                <w:rPr>
                  <w:rStyle w:val="Hyperlink"/>
                  <w:color w:val="244061"/>
                </w:rPr>
                <w:t xml:space="preserve">Tasmanian Health</w:t>
              </w:r>
            </w:hyperlink>
            <w:r>
              <w:rPr>
                <w:rStyle w:val="row-content"/>
                <w:color w:val="244061"/>
              </w:rPr>
              <w:t xml:space="preserve">, Superseded 08/04/2019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the episode of admitted patient care, episode of residential care or attendance at a health care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abd434ee53a47a9">
              <w:r>
                <w:rPr>
                  <w:rStyle w:val="Hyperlink"/>
                </w:rPr>
                <w:t xml:space="preserve">Episode of care—additional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215f9a844c64901">
              <w:r>
                <w:rPr>
                  <w:rStyle w:val="Hyperlink"/>
                </w:rPr>
                <w:t xml:space="preserve">Diagnosis code (ICD-10-AM 10th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2c62a3bc6264ce9">
              <w:r>
                <w:rPr>
                  <w:rStyle w:val="Hyperlink"/>
                </w:rPr>
                <w:t xml:space="preserve">International Statistical Classification of Diseases and Related Health Problems, Tenth Revision, Australian Modification 10th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each additional diagnosis relevant to the episode of care in accordance with the ICD-10-AM Australian Coding Standards. Generally, external cause, place of occurrence and activity codes will be included in the string of additional diagnosis codes. In some data collections these codes may also be copied into specific fields.</w:t>
            </w:r>
          </w:p>
          <w:p>
            <w:pPr>
              <w:spacing w:after="160"/>
            </w:pPr>
            <w:r>
              <w:rPr>
                <w:rStyle w:val="row-content-rich-text"/>
              </w:rPr>
              <w:t xml:space="preserve">The diagnosis can include a disease, condition, injury, poisoning, sign, symptom, abnormal finding, complaint, or other factor influencing health status.</w:t>
            </w:r>
          </w:p>
          <w:p>
            <w:pPr/>
            <w:r>
              <w:rPr>
                <w:rStyle w:val="row-content-rich-text"/>
              </w:rPr>
              <w:t xml:space="preserve">Additional diagnoses give information on the conditions that are significant in terms of treatment required, investigations needed and resources used during the episode of care. They are used for casemix analyses relating to severity of illness and for correct classification of patients into Australian Refined Diagnosis Related Groups (AR-DRGs).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diagnosis should be recorded and coded where appropriate upon separation of an episode of admitted patient care or the end of an episode of residential care or attendance at a health care establishment. The additional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Additional diagnoses should be interpreted as conditions that affect patient management in terms of requiring any of the following:</w:t>
            </w:r>
          </w:p>
          <w:p>
            <w:pPr>
              <w:pStyle w:val="ListParagraph"/>
              <w:numPr>
                <w:ilvl w:val="0"/>
                <w:numId w:val="2"/>
              </w:numPr>
            </w:pPr>
            <w:r>
              <w:rPr>
                <w:rStyle w:val="row-content-rich-text"/>
              </w:rPr>
              <w:t xml:space="preserve">Commencement, alteration or adjustment of therapeutic treatment</w:t>
            </w:r>
          </w:p>
          <w:p>
            <w:pPr>
              <w:pStyle w:val="ListParagraph"/>
              <w:numPr>
                <w:ilvl w:val="0"/>
                <w:numId w:val="2"/>
              </w:numPr>
            </w:pPr>
            <w:r>
              <w:rPr>
                <w:rStyle w:val="row-content-rich-text"/>
              </w:rPr>
              <w:t xml:space="preserve">Diagnostic procedures</w:t>
            </w:r>
          </w:p>
          <w:p>
            <w:pPr>
              <w:pStyle w:val="ListParagraph"/>
              <w:numPr>
                <w:ilvl w:val="0"/>
                <w:numId w:val="2"/>
              </w:numPr>
            </w:pPr>
            <w:r>
              <w:rPr>
                <w:rStyle w:val="row-content-rich-text"/>
              </w:rPr>
              <w:t xml:space="preserve">Increased clinical care and/or monitoring</w:t>
            </w:r>
          </w:p>
          <w:p>
            <w:pPr>
              <w:spacing w:after="160"/>
            </w:pPr>
            <w:r>
              <w:rPr>
                <w:rStyle w:val="row-content-rich-text"/>
              </w:rPr>
              <w:t xml:space="preserve">In accordance with the Australian Coding Standards, certain conditions that do not meet the above criteria may also be recorded as additional diagnoses.</w:t>
            </w:r>
          </w:p>
          <w:p>
            <w:pPr>
              <w:spacing w:after="160"/>
            </w:pPr>
            <w:r>
              <w:rPr>
                <w:rStyle w:val="row-content-rich-text"/>
              </w:rPr>
              <w:t xml:space="preserve">Additional diagnoses are significant for the allocation of AR-DRGs. The allocation of a patient to major problem or complication and co-morbidity Diagnosis Related Groups is made on the basis of the presence of certain specified additional diagnoses. Additional diagnoses should be recorded when relevant to the patient's episode of care and not restricted by the number of fields on the morbidity form or computer screen.</w:t>
            </w:r>
          </w:p>
          <w:p>
            <w:pPr/>
            <w:r>
              <w:rPr>
                <w:rStyle w:val="row-content-rich-text"/>
              </w:rPr>
              <w:t xml:space="preserve">External cause codes, although not diagnosis of condition codes, should be sequenced together with the additional diagnosis codes so that meaning is given to the data for use in injury surveillance and other monitoring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w:t>
            </w:r>
          </w:p>
          <w:p>
            <w:pPr/>
            <w:r>
              <w:rPr>
                <w:rStyle w:val="row-content-rich-text"/>
              </w:rPr>
              <w:t xml:space="preserve">Australian Consortium for Classification Development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54f954b43245b5">
              <w:r>
                <w:rPr>
                  <w:rStyle w:val="Hyperlink"/>
                </w:rPr>
                <w:t xml:space="preserve">Episode of care—additional diagnosis, code (ICD-10-AM 9th edn) ANN{.N[N]}</w:t>
              </w:r>
            </w:hyperlink>
          </w:p>
          <w:p>
            <w:pPr>
              <w:spacing w:before="0" w:after="0"/>
            </w:pPr>
            <w:r>
              <w:rPr>
                <w:rStyle w:val="row-content"/>
                <w:color w:val="244061"/>
              </w:rPr>
              <w:t xml:space="preserve">       </w:t>
            </w:r>
            <w:hyperlink w:history="true" r:id="Rdf5a9c1e69a543b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13453516912436e">
              <w:r>
                <w:rPr>
                  <w:rStyle w:val="Hyperlink"/>
                  <w:color w:val="244061"/>
                </w:rPr>
                <w:t xml:space="preserve">Independent Hospital Pricing Authority</w:t>
              </w:r>
            </w:hyperlink>
            <w:r>
              <w:rPr>
                <w:rStyle w:val="row-content"/>
                <w:color w:val="244061"/>
              </w:rPr>
              <w:t xml:space="preserve">, Standard 16/03/2016</w:t>
            </w:r>
          </w:p>
          <w:p>
            <w:pPr>
              <w:spacing w:before="0" w:after="0"/>
            </w:pPr>
            <w:r>
              <w:rPr>
                <w:rStyle w:val="row-content"/>
                <w:color w:val="244061"/>
              </w:rPr>
              <w:t xml:space="preserve">       </w:t>
            </w:r>
            <w:hyperlink w:history="true" r:id="Racddd81a63e745d1">
              <w:r>
                <w:rPr>
                  <w:rStyle w:val="Hyperlink"/>
                  <w:color w:val="244061"/>
                </w:rPr>
                <w:t xml:space="preserve">Tasmanian Health</w:t>
              </w:r>
            </w:hyperlink>
            <w:r>
              <w:rPr>
                <w:rStyle w:val="row-content"/>
                <w:color w:val="244061"/>
              </w:rPr>
              <w:t xml:space="preserve">, Superseded 06/07/2017</w:t>
            </w:r>
          </w:p>
          <w:p>
            <w:r>
              <w:br/>
            </w:r>
            <w:r>
              <w:rPr>
                <w:rStyle w:val="row-content"/>
              </w:rPr>
              <w:t xml:space="preserve">Has been superseded by </w:t>
            </w:r>
            <w:hyperlink w:history="true" r:id="R50a9448784404fd6">
              <w:r>
                <w:rPr>
                  <w:rStyle w:val="Hyperlink"/>
                </w:rPr>
                <w:t xml:space="preserve">Episode of care—additional diagnosis, code (ICD-10-AM 10th edn) ANN{.N[N]}</w:t>
              </w:r>
            </w:hyperlink>
          </w:p>
          <w:p>
            <w:pPr>
              <w:spacing w:before="0" w:after="0"/>
            </w:pPr>
            <w:r>
              <w:rPr>
                <w:rStyle w:val="row-content"/>
                <w:color w:val="244061"/>
              </w:rPr>
              <w:t xml:space="preserve">       </w:t>
            </w:r>
            <w:hyperlink w:history="true" r:id="Rd0649a0e77b34ad6">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d05855673ea84bf1">
              <w:r>
                <w:rPr>
                  <w:rStyle w:val="Hyperlink"/>
                  <w:color w:val="244061"/>
                </w:rPr>
                <w:t xml:space="preserve">Tasmanian Health</w:t>
              </w:r>
            </w:hyperlink>
            <w:r>
              <w:rPr>
                <w:rStyle w:val="row-content"/>
                <w:color w:val="244061"/>
              </w:rPr>
              <w:t xml:space="preserve">, Superseded 08/04/2019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3b0051b5bc4aef">
              <w:r>
                <w:rPr>
                  <w:rStyle w:val="Hyperlink"/>
                </w:rPr>
                <w:t xml:space="preserve">Activity based funding: Mental health care NBEDS 2017-18</w:t>
              </w:r>
            </w:hyperlink>
          </w:p>
          <w:p>
            <w:pPr>
              <w:spacing w:before="0" w:after="0"/>
            </w:pPr>
            <w:r>
              <w:rPr>
                <w:rStyle w:val="row-content"/>
                <w:color w:val="244061"/>
              </w:rPr>
              <w:t xml:space="preserve">       </w:t>
            </w:r>
            <w:hyperlink w:history="true" r:id="R053b4ab28f894f0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element is only required to be reported for patients with an admitted or residential mental health episode of care.</w:t>
            </w:r>
          </w:p>
          <w:p>
            <w:r>
              <w:br/>
            </w:r>
            <w:r>
              <w:br/>
            </w:r>
            <w:hyperlink w:history="true" r:id="R8d12ac84210b467e">
              <w:r>
                <w:rPr>
                  <w:rStyle w:val="Hyperlink"/>
                </w:rPr>
                <w:t xml:space="preserve">Admitted patient care NMDS 2017-18</w:t>
              </w:r>
            </w:hyperlink>
          </w:p>
          <w:p>
            <w:pPr>
              <w:spacing w:before="0" w:after="0"/>
            </w:pPr>
            <w:r>
              <w:rPr>
                <w:rStyle w:val="row-content"/>
                <w:color w:val="244061"/>
              </w:rPr>
              <w:t xml:space="preserve">       </w:t>
            </w:r>
            <w:hyperlink w:history="true" r:id="Rc966434582f34c4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element is only to be reported if the episode of care results in more than one diagnosis code being allocated.</w:t>
            </w:r>
          </w:p>
          <w:p>
            <w:r>
              <w:br/>
            </w:r>
            <w:r>
              <w:rPr>
                <w:rStyle w:val="row-content"/>
                <w:b/>
                <w:i/>
              </w:rPr>
              <w:t xml:space="preserve">DSS specific information: </w:t>
            </w:r>
          </w:p>
          <w:p>
            <w:r>
              <w:rPr>
                <w:rStyle w:val="row-content"/>
              </w:rPr>
              <w:t xml:space="preserve">An unlimited number of diagnosis and procedure codes should be able to be collected in hospital morbidity systems. Where this is not possible, a minimum of 20 codes should be able to be collected.</w:t>
            </w:r>
          </w:p>
          <w:p>
            <w:r>
              <w:br/>
            </w:r>
            <w:r>
              <w:br/>
            </w:r>
            <w:hyperlink w:history="true" r:id="Re5886f1cf6b44e95">
              <w:r>
                <w:rPr>
                  <w:rStyle w:val="Hyperlink"/>
                </w:rPr>
                <w:t xml:space="preserve">Residential mental health care NMDS 2017–18</w:t>
              </w:r>
            </w:hyperlink>
          </w:p>
          <w:p>
            <w:pPr>
              <w:spacing w:before="0" w:after="0"/>
            </w:pPr>
            <w:r>
              <w:rPr>
                <w:rStyle w:val="row-content"/>
                <w:color w:val="244061"/>
              </w:rPr>
              <w:t xml:space="preserve">       </w:t>
            </w:r>
            <w:hyperlink w:history="true" r:id="Rd24e49a054c9481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6fe04be943654e69">
              <w:r>
                <w:rPr>
                  <w:rStyle w:val="Hyperlink"/>
                </w:rPr>
                <w:t xml:space="preserve">Tasmanian Admitted Patient Data Set - 2017</w:t>
              </w:r>
            </w:hyperlink>
          </w:p>
          <w:p>
            <w:pPr>
              <w:spacing w:before="0" w:after="0"/>
            </w:pPr>
            <w:r>
              <w:rPr>
                <w:rStyle w:val="row-content"/>
                <w:color w:val="244061"/>
              </w:rPr>
              <w:t xml:space="preserve">       </w:t>
            </w:r>
            <w:hyperlink w:history="true" r:id="R186f1348e5294d5e">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59dd2b50bd7b42d6">
              <w:r>
                <w:rPr>
                  <w:rStyle w:val="Hyperlink"/>
                </w:rPr>
                <w:t xml:space="preserve">Tasmanian Admitted Patient Data Set - 2018</w:t>
              </w:r>
            </w:hyperlink>
          </w:p>
          <w:p>
            <w:pPr>
              <w:spacing w:before="0" w:after="0"/>
            </w:pPr>
            <w:r>
              <w:rPr>
                <w:rStyle w:val="row-content"/>
                <w:color w:val="244061"/>
              </w:rPr>
              <w:t xml:space="preserve">       </w:t>
            </w:r>
            <w:hyperlink w:history="true" r:id="Ra3996c36479d43cc">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e18e470935f49cb">
              <w:r>
                <w:rPr>
                  <w:rStyle w:val="Hyperlink"/>
                </w:rPr>
                <w:t xml:space="preserve">Australian Health Performance Framework: PI 2.1.4–Selected potentially preventable hospitalisations, 2019</w:t>
              </w:r>
            </w:hyperlink>
          </w:p>
          <w:p>
            <w:pPr>
              <w:spacing w:before="0" w:after="0"/>
            </w:pPr>
            <w:r>
              <w:rPr>
                <w:rStyle w:val="row-content"/>
                <w:color w:val="244061"/>
              </w:rPr>
              <w:t xml:space="preserve">       </w:t>
            </w:r>
            <w:hyperlink w:history="true" r:id="R49ae8cdfedfa4f43">
              <w:r>
                <w:rPr>
                  <w:rStyle w:val="Hyperlink"/>
                  <w:color w:val="244061"/>
                </w:rPr>
                <w:t xml:space="preserve">Health</w:t>
              </w:r>
            </w:hyperlink>
            <w:r>
              <w:rPr>
                <w:rStyle w:val="row-content"/>
                <w:color w:val="244061"/>
              </w:rPr>
              <w:t xml:space="preserve">, Superseded 01/12/2020</w:t>
            </w:r>
          </w:p>
          <w:p>
            <w:r>
              <w:br/>
            </w:r>
            <w:hyperlink w:history="true" r:id="R4a3a63ac43474a8d">
              <w:r>
                <w:rPr>
                  <w:rStyle w:val="Hyperlink"/>
                </w:rPr>
                <w:t xml:space="preserve">Australian Health Performance Framework: PI 2.2.1–Adverse events treated in hospitals, 2019</w:t>
              </w:r>
            </w:hyperlink>
          </w:p>
          <w:p>
            <w:pPr>
              <w:spacing w:before="0" w:after="0"/>
            </w:pPr>
            <w:r>
              <w:rPr>
                <w:rStyle w:val="row-content"/>
                <w:color w:val="244061"/>
              </w:rPr>
              <w:t xml:space="preserve">       </w:t>
            </w:r>
            <w:hyperlink w:history="true" r:id="Rc96cdc345268425e">
              <w:r>
                <w:rPr>
                  <w:rStyle w:val="Hyperlink"/>
                  <w:color w:val="244061"/>
                </w:rPr>
                <w:t xml:space="preserve">Health</w:t>
              </w:r>
            </w:hyperlink>
            <w:r>
              <w:rPr>
                <w:rStyle w:val="row-content"/>
                <w:color w:val="244061"/>
              </w:rPr>
              <w:t xml:space="preserve">, Superseded 13/10/2021</w:t>
            </w:r>
          </w:p>
          <w:p>
            <w:r>
              <w:br/>
            </w:r>
            <w:hyperlink w:history="true" r:id="Rb84d4bc7d26c4405">
              <w:r>
                <w:rPr>
                  <w:rStyle w:val="Hyperlink"/>
                </w:rPr>
                <w:t xml:space="preserve">Australian Health Performance Framework: PI 2.2.1–Adverse events treated in hospitals, 2020</w:t>
              </w:r>
            </w:hyperlink>
          </w:p>
          <w:p>
            <w:pPr>
              <w:spacing w:before="0" w:after="0"/>
            </w:pPr>
            <w:r>
              <w:rPr>
                <w:rStyle w:val="row-content"/>
                <w:color w:val="244061"/>
              </w:rPr>
              <w:t xml:space="preserve">       </w:t>
            </w:r>
            <w:hyperlink w:history="true" r:id="Refb9f68009bf4859">
              <w:r>
                <w:rPr>
                  <w:rStyle w:val="Hyperlink"/>
                  <w:color w:val="244061"/>
                </w:rPr>
                <w:t xml:space="preserve">Health</w:t>
              </w:r>
            </w:hyperlink>
            <w:r>
              <w:rPr>
                <w:rStyle w:val="row-content"/>
                <w:color w:val="244061"/>
              </w:rPr>
              <w:t xml:space="preserve">, Standard 13/10/2021</w:t>
            </w:r>
          </w:p>
          <w:p>
            <w:r>
              <w:br/>
            </w:r>
            <w:hyperlink w:history="true" r:id="R867cfcd63f444fff">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2020</w:t>
              </w:r>
            </w:hyperlink>
          </w:p>
          <w:p>
            <w:pPr>
              <w:spacing w:before="0" w:after="0"/>
            </w:pPr>
            <w:r>
              <w:rPr>
                <w:rStyle w:val="row-content"/>
                <w:color w:val="244061"/>
              </w:rPr>
              <w:t xml:space="preserve">       </w:t>
            </w:r>
            <w:hyperlink w:history="true" r:id="R08a2ba94a3f14bc3">
              <w:r>
                <w:rPr>
                  <w:rStyle w:val="Hyperlink"/>
                  <w:color w:val="244061"/>
                </w:rPr>
                <w:t xml:space="preserve">Health</w:t>
              </w:r>
            </w:hyperlink>
            <w:r>
              <w:rPr>
                <w:rStyle w:val="row-content"/>
                <w:color w:val="244061"/>
              </w:rPr>
              <w:t xml:space="preserve">, Standard 13/03/2020</w:t>
            </w:r>
          </w:p>
          <w:p>
            <w:r>
              <w:br/>
            </w:r>
            <w:hyperlink w:history="true" r:id="R22e299fb52014900">
              <w:r>
                <w:rPr>
                  <w:rStyle w:val="Hyperlink"/>
                </w:rPr>
                <w:t xml:space="preserve">National Healthcare Agreement: PI 18–Selected potentially preventable hospitalisations, 2020</w:t>
              </w:r>
            </w:hyperlink>
          </w:p>
          <w:p>
            <w:pPr>
              <w:spacing w:before="0" w:after="0"/>
            </w:pPr>
            <w:r>
              <w:rPr>
                <w:rStyle w:val="row-content"/>
                <w:color w:val="244061"/>
              </w:rPr>
              <w:t xml:space="preserve">       </w:t>
            </w:r>
            <w:hyperlink w:history="true" r:id="R56f79e2daa394271">
              <w:r>
                <w:rPr>
                  <w:rStyle w:val="Hyperlink"/>
                  <w:color w:val="244061"/>
                </w:rPr>
                <w:t xml:space="preserve">Health</w:t>
              </w:r>
            </w:hyperlink>
            <w:r>
              <w:rPr>
                <w:rStyle w:val="row-content"/>
                <w:color w:val="244061"/>
              </w:rPr>
              <w:t xml:space="preserve">, Standard 13/03/2020</w:t>
            </w:r>
          </w:p>
          <w:p>
            <w:r>
              <w:br/>
            </w:r>
            <w:hyperlink w:history="true" r:id="Rece37561149a4b81">
              <w:r>
                <w:rPr>
                  <w:rStyle w:val="Hyperlink"/>
                </w:rPr>
                <w:t xml:space="preserve">National Healthcare Agreement: PI 27–Number of hospital patient days used by those eligible and waiting for residential aged care, 2020</w:t>
              </w:r>
            </w:hyperlink>
          </w:p>
          <w:p>
            <w:pPr>
              <w:spacing w:before="0" w:after="0"/>
            </w:pPr>
            <w:r>
              <w:rPr>
                <w:rStyle w:val="row-content"/>
                <w:color w:val="244061"/>
              </w:rPr>
              <w:t xml:space="preserve">       </w:t>
            </w:r>
            <w:hyperlink w:history="true" r:id="R43013ea6ec8b4e8c">
              <w:r>
                <w:rPr>
                  <w:rStyle w:val="Hyperlink"/>
                  <w:color w:val="244061"/>
                </w:rPr>
                <w:t xml:space="preserve">Health</w:t>
              </w:r>
            </w:hyperlink>
            <w:r>
              <w:rPr>
                <w:rStyle w:val="row-content"/>
                <w:color w:val="244061"/>
              </w:rPr>
              <w:t xml:space="preserve">, Standard 13/03/2020</w:t>
            </w:r>
          </w:p>
          <w:p>
            <w:r>
              <w:br/>
            </w:r>
            <w:hyperlink w:history="true" r:id="R7ed9272e124c4602">
              <w:r>
                <w:rPr>
                  <w:rStyle w:val="Hyperlink"/>
                </w:rPr>
                <w:t xml:space="preserve">Number of potentially preventable hospitalisations - chronic obstructive pulmonary disease (COPD) per 100,000 people of all ages, 2014-15 to 2017-18</w:t>
              </w:r>
            </w:hyperlink>
          </w:p>
          <w:p>
            <w:pPr>
              <w:spacing w:before="0" w:after="0"/>
            </w:pPr>
            <w:r>
              <w:rPr>
                <w:rStyle w:val="row-content"/>
                <w:color w:val="244061"/>
              </w:rPr>
              <w:t xml:space="preserve">       </w:t>
            </w:r>
            <w:hyperlink w:history="true" r:id="R0a5350a2880d43c4">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Disaggregation</w:t>
            </w:r>
            <w:r>
              <w:br/>
            </w:r>
            <w:hyperlink w:history="true" r:id="R8b667e9bd6ef441b">
              <w:r>
                <w:rPr>
                  <w:rStyle w:val="Hyperlink"/>
                </w:rPr>
                <w:t xml:space="preserve">Australian Health Performance Framework: PI 2.2.1–Adverse events treated in hospitals, 2019</w:t>
              </w:r>
            </w:hyperlink>
          </w:p>
          <w:p>
            <w:pPr>
              <w:spacing w:before="0" w:after="0"/>
            </w:pPr>
            <w:r>
              <w:rPr>
                <w:rStyle w:val="row-content"/>
                <w:color w:val="244061"/>
              </w:rPr>
              <w:t xml:space="preserve">       </w:t>
            </w:r>
            <w:hyperlink w:history="true" r:id="Raa3d37300eb64a20">
              <w:r>
                <w:rPr>
                  <w:rStyle w:val="Hyperlink"/>
                  <w:color w:val="244061"/>
                </w:rPr>
                <w:t xml:space="preserve">Health</w:t>
              </w:r>
            </w:hyperlink>
            <w:r>
              <w:rPr>
                <w:rStyle w:val="row-content"/>
                <w:color w:val="244061"/>
              </w:rPr>
              <w:t xml:space="preserve">, Superseded 13/10/2021</w:t>
            </w:r>
          </w:p>
          <w:p>
            <w:r>
              <w:br/>
            </w:r>
            <w:hyperlink w:history="true" r:id="Rfc580dfba3744e92">
              <w:r>
                <w:rPr>
                  <w:rStyle w:val="Hyperlink"/>
                </w:rPr>
                <w:t xml:space="preserve">Australian Health Performance Framework: PI 2.2.1–Adverse events treated in hospitals, 2020</w:t>
              </w:r>
            </w:hyperlink>
          </w:p>
          <w:p>
            <w:pPr>
              <w:spacing w:before="0" w:after="0"/>
            </w:pPr>
            <w:r>
              <w:rPr>
                <w:rStyle w:val="row-content"/>
                <w:color w:val="244061"/>
              </w:rPr>
              <w:t xml:space="preserve">       </w:t>
            </w:r>
            <w:hyperlink w:history="true" r:id="Rb99e5fc72eb24759">
              <w:r>
                <w:rPr>
                  <w:rStyle w:val="Hyperlink"/>
                  <w:color w:val="244061"/>
                </w:rPr>
                <w:t xml:space="preserve">Health</w:t>
              </w:r>
            </w:hyperlink>
            <w:r>
              <w:rPr>
                <w:rStyle w:val="row-content"/>
                <w:color w:val="244061"/>
              </w:rPr>
              <w:t xml:space="preserve">, Standard 13/10/2021</w:t>
            </w:r>
          </w:p>
          <w:p>
            <w:r>
              <w:br/>
            </w:r>
            <w:r>
              <w:rPr>
                <w:rStyle w:val="row-content"/>
                <w:b/>
              </w:rPr>
              <w:t xml:space="preserve">Used as Denominator</w:t>
            </w:r>
            <w:r>
              <w:br/>
            </w:r>
            <w:hyperlink w:history="true" r:id="R31598d5f7cd246da">
              <w:r>
                <w:rPr>
                  <w:rStyle w:val="Hyperlink"/>
                </w:rPr>
                <w:t xml:space="preserve">Third and Fourth Degree Perineal Tears Clinical Care Standard: 3b-Proportion of women who had an instrumental vaginal birth using forceps</w:t>
              </w:r>
            </w:hyperlink>
          </w:p>
          <w:p>
            <w:pPr>
              <w:spacing w:before="0" w:after="0"/>
            </w:pPr>
            <w:r>
              <w:rPr>
                <w:rStyle w:val="row-content"/>
                <w:color w:val="244061"/>
              </w:rPr>
              <w:t xml:space="preserve">       </w:t>
            </w:r>
            <w:hyperlink w:history="true" r:id="R743c75ce8f864d8b">
              <w:r>
                <w:rPr>
                  <w:rStyle w:val="Hyperlink"/>
                  <w:color w:val="244061"/>
                </w:rPr>
                <w:t xml:space="preserve">Australian Commission on Safety and Quality in Health Care</w:t>
              </w:r>
            </w:hyperlink>
            <w:r>
              <w:rPr>
                <w:rStyle w:val="row-content"/>
                <w:color w:val="244061"/>
              </w:rPr>
              <w:t xml:space="preserve">, Standard 20/04/2021</w:t>
            </w:r>
          </w:p>
          <w:p>
            <w:r>
              <w:br/>
            </w:r>
            <w:hyperlink w:history="true" r:id="R22e2836a220749e1">
              <w:r>
                <w:rPr>
                  <w:rStyle w:val="Hyperlink"/>
                </w:rPr>
                <w:t xml:space="preserve">Third and Fourth Degree Perineal Tears Clinical Care Standard: 3c-Proportion of women who had a vacuum-assisted birth with episiotomy</w:t>
              </w:r>
            </w:hyperlink>
          </w:p>
          <w:p>
            <w:pPr>
              <w:spacing w:before="0" w:after="0"/>
            </w:pPr>
            <w:r>
              <w:rPr>
                <w:rStyle w:val="row-content"/>
                <w:color w:val="244061"/>
              </w:rPr>
              <w:t xml:space="preserve">       </w:t>
            </w:r>
            <w:hyperlink w:history="true" r:id="R4c76657109974eff">
              <w:r>
                <w:rPr>
                  <w:rStyle w:val="Hyperlink"/>
                  <w:color w:val="244061"/>
                </w:rPr>
                <w:t xml:space="preserve">Australian Commission on Safety and Quality in Health Care</w:t>
              </w:r>
            </w:hyperlink>
            <w:r>
              <w:rPr>
                <w:rStyle w:val="row-content"/>
                <w:color w:val="244061"/>
              </w:rPr>
              <w:t xml:space="preserve">, Standard 20/04/2021</w:t>
            </w:r>
          </w:p>
          <w:p>
            <w:r>
              <w:br/>
            </w:r>
          </w:p>
        </w:tc>
      </w:tr>
    </w:tbl>
    <w:p/>
    <w:tbl>
      <w:tblPr>
        <w:tblStyle w:val="TableGrid"/>
        <w:tblW w:w="0" w:type="auto"/>
      </w:tblPr>
    </w:tbl>
    <w:p>
      <w:r>
        <w:br/>
      </w:r>
    </w:p>
    <w:sectPr>
      <w:footerReference xmlns:r="http://schemas.openxmlformats.org/officeDocument/2006/relationships" w:type="default" r:id="R8158661afca040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641014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de4506ae014b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58661afca04021" /><Relationship Type="http://schemas.openxmlformats.org/officeDocument/2006/relationships/header" Target="/word/header1.xml" Id="R80508dadee154e6f" /><Relationship Type="http://schemas.openxmlformats.org/officeDocument/2006/relationships/settings" Target="/word/settings.xml" Id="R428e7d3a38ba48f7" /><Relationship Type="http://schemas.openxmlformats.org/officeDocument/2006/relationships/styles" Target="/word/styles.xml" Id="R503c1616483649ac" /><Relationship Type="http://schemas.openxmlformats.org/officeDocument/2006/relationships/hyperlink" Target="https://meteor.aihw.gov.au/RegistrationAuthority/12" TargetMode="External" Id="Rdd99146f6d8c46c9" /><Relationship Type="http://schemas.openxmlformats.org/officeDocument/2006/relationships/hyperlink" Target="https://meteor.aihw.gov.au/RegistrationAuthority/3" TargetMode="External" Id="Rbc2f5c1f6f444e5b" /><Relationship Type="http://schemas.openxmlformats.org/officeDocument/2006/relationships/hyperlink" Target="https://meteor.aihw.gov.au/RegistrationAuthority/15" TargetMode="External" Id="R7e8bc380989c443f" /><Relationship Type="http://schemas.openxmlformats.org/officeDocument/2006/relationships/hyperlink" Target="https://meteor.aihw.gov.au/content/356590" TargetMode="External" Id="Rdabd434ee53a47a9" /><Relationship Type="http://schemas.openxmlformats.org/officeDocument/2006/relationships/hyperlink" Target="https://meteor.aihw.gov.au/content/640980" TargetMode="External" Id="R9215f9a844c64901" /><Relationship Type="http://schemas.openxmlformats.org/officeDocument/2006/relationships/hyperlink" Target="https://meteor.aihw.gov.au/content/640983" TargetMode="External" Id="R42c62a3bc6264ce9" /><Relationship Type="http://schemas.openxmlformats.org/officeDocument/2006/relationships/numbering" Target="/word/numbering.xml" Id="R084a0f9563324092" /><Relationship Type="http://schemas.openxmlformats.org/officeDocument/2006/relationships/hyperlink" Target="https://meteor.aihw.gov.au/content/588981" TargetMode="External" Id="Re754f954b43245b5" /><Relationship Type="http://schemas.openxmlformats.org/officeDocument/2006/relationships/hyperlink" Target="https://meteor.aihw.gov.au/RegistrationAuthority/12" TargetMode="External" Id="Rdf5a9c1e69a543b8" /><Relationship Type="http://schemas.openxmlformats.org/officeDocument/2006/relationships/hyperlink" Target="https://meteor.aihw.gov.au/RegistrationAuthority/3" TargetMode="External" Id="R713453516912436e" /><Relationship Type="http://schemas.openxmlformats.org/officeDocument/2006/relationships/hyperlink" Target="https://meteor.aihw.gov.au/RegistrationAuthority/15" TargetMode="External" Id="Racddd81a63e745d1" /><Relationship Type="http://schemas.openxmlformats.org/officeDocument/2006/relationships/hyperlink" Target="https://meteor.aihw.gov.au/content/680973" TargetMode="External" Id="R50a9448784404fd6" /><Relationship Type="http://schemas.openxmlformats.org/officeDocument/2006/relationships/hyperlink" Target="https://meteor.aihw.gov.au/RegistrationAuthority/12" TargetMode="External" Id="Rd0649a0e77b34ad6" /><Relationship Type="http://schemas.openxmlformats.org/officeDocument/2006/relationships/hyperlink" Target="https://meteor.aihw.gov.au/RegistrationAuthority/15" TargetMode="External" Id="Rd05855673ea84bf1" /><Relationship Type="http://schemas.openxmlformats.org/officeDocument/2006/relationships/hyperlink" Target="https://meteor.aihw.gov.au/content/639992" TargetMode="External" Id="R973b0051b5bc4aef" /><Relationship Type="http://schemas.openxmlformats.org/officeDocument/2006/relationships/hyperlink" Target="https://meteor.aihw.gov.au/RegistrationAuthority/12" TargetMode="External" Id="R053b4ab28f894f02" /><Relationship Type="http://schemas.openxmlformats.org/officeDocument/2006/relationships/hyperlink" Target="https://meteor.aihw.gov.au/content/641349" TargetMode="External" Id="R8d12ac84210b467e" /><Relationship Type="http://schemas.openxmlformats.org/officeDocument/2006/relationships/hyperlink" Target="https://meteor.aihw.gov.au/RegistrationAuthority/12" TargetMode="External" Id="Rc966434582f34c45" /><Relationship Type="http://schemas.openxmlformats.org/officeDocument/2006/relationships/hyperlink" Target="https://meteor.aihw.gov.au/content/645718" TargetMode="External" Id="Re5886f1cf6b44e95" /><Relationship Type="http://schemas.openxmlformats.org/officeDocument/2006/relationships/hyperlink" Target="https://meteor.aihw.gov.au/RegistrationAuthority/12" TargetMode="External" Id="Rd24e49a054c94819" /><Relationship Type="http://schemas.openxmlformats.org/officeDocument/2006/relationships/hyperlink" Target="https://meteor.aihw.gov.au/content/667734" TargetMode="External" Id="R6fe04be943654e69" /><Relationship Type="http://schemas.openxmlformats.org/officeDocument/2006/relationships/hyperlink" Target="https://meteor.aihw.gov.au/RegistrationAuthority/15" TargetMode="External" Id="R186f1348e5294d5e" /><Relationship Type="http://schemas.openxmlformats.org/officeDocument/2006/relationships/hyperlink" Target="https://meteor.aihw.gov.au/content/689879" TargetMode="External" Id="R59dd2b50bd7b42d6" /><Relationship Type="http://schemas.openxmlformats.org/officeDocument/2006/relationships/hyperlink" Target="https://meteor.aihw.gov.au/RegistrationAuthority/15" TargetMode="External" Id="Ra3996c36479d43cc" /><Relationship Type="http://schemas.openxmlformats.org/officeDocument/2006/relationships/hyperlink" Target="https://meteor.aihw.gov.au/content/715161" TargetMode="External" Id="R7e18e470935f49cb" /><Relationship Type="http://schemas.openxmlformats.org/officeDocument/2006/relationships/hyperlink" Target="https://meteor.aihw.gov.au/RegistrationAuthority/12" TargetMode="External" Id="R49ae8cdfedfa4f43" /><Relationship Type="http://schemas.openxmlformats.org/officeDocument/2006/relationships/hyperlink" Target="https://meteor.aihw.gov.au/content/716174" TargetMode="External" Id="R4a3a63ac43474a8d" /><Relationship Type="http://schemas.openxmlformats.org/officeDocument/2006/relationships/hyperlink" Target="https://meteor.aihw.gov.au/RegistrationAuthority/12" TargetMode="External" Id="Rc96cdc345268425e" /><Relationship Type="http://schemas.openxmlformats.org/officeDocument/2006/relationships/hyperlink" Target="https://meteor.aihw.gov.au/content/728339" TargetMode="External" Id="Rb84d4bc7d26c4405" /><Relationship Type="http://schemas.openxmlformats.org/officeDocument/2006/relationships/hyperlink" Target="https://meteor.aihw.gov.au/RegistrationAuthority/12" TargetMode="External" Id="Refb9f68009bf4859" /><Relationship Type="http://schemas.openxmlformats.org/officeDocument/2006/relationships/hyperlink" Target="https://meteor.aihw.gov.au/content/716265" TargetMode="External" Id="R867cfcd63f444fff" /><Relationship Type="http://schemas.openxmlformats.org/officeDocument/2006/relationships/hyperlink" Target="https://meteor.aihw.gov.au/RegistrationAuthority/12" TargetMode="External" Id="R08a2ba94a3f14bc3" /><Relationship Type="http://schemas.openxmlformats.org/officeDocument/2006/relationships/hyperlink" Target="https://meteor.aihw.gov.au/content/716530" TargetMode="External" Id="R22e299fb52014900" /><Relationship Type="http://schemas.openxmlformats.org/officeDocument/2006/relationships/hyperlink" Target="https://meteor.aihw.gov.au/RegistrationAuthority/12" TargetMode="External" Id="R56f79e2daa394271" /><Relationship Type="http://schemas.openxmlformats.org/officeDocument/2006/relationships/hyperlink" Target="https://meteor.aihw.gov.au/content/716845" TargetMode="External" Id="Rece37561149a4b81" /><Relationship Type="http://schemas.openxmlformats.org/officeDocument/2006/relationships/hyperlink" Target="https://meteor.aihw.gov.au/RegistrationAuthority/12" TargetMode="External" Id="R43013ea6ec8b4e8c" /><Relationship Type="http://schemas.openxmlformats.org/officeDocument/2006/relationships/hyperlink" Target="https://meteor.aihw.gov.au/content/724575" TargetMode="External" Id="R7ed9272e124c4602" /><Relationship Type="http://schemas.openxmlformats.org/officeDocument/2006/relationships/hyperlink" Target="https://meteor.aihw.gov.au/RegistrationAuthority/18" TargetMode="External" Id="R0a5350a2880d43c4" /><Relationship Type="http://schemas.openxmlformats.org/officeDocument/2006/relationships/hyperlink" Target="https://meteor.aihw.gov.au/content/716174" TargetMode="External" Id="R8b667e9bd6ef441b" /><Relationship Type="http://schemas.openxmlformats.org/officeDocument/2006/relationships/hyperlink" Target="https://meteor.aihw.gov.au/RegistrationAuthority/12" TargetMode="External" Id="Raa3d37300eb64a20" /><Relationship Type="http://schemas.openxmlformats.org/officeDocument/2006/relationships/hyperlink" Target="https://meteor.aihw.gov.au/content/728339" TargetMode="External" Id="Rfc580dfba3744e92" /><Relationship Type="http://schemas.openxmlformats.org/officeDocument/2006/relationships/hyperlink" Target="https://meteor.aihw.gov.au/RegistrationAuthority/12" TargetMode="External" Id="Rb99e5fc72eb24759" /><Relationship Type="http://schemas.openxmlformats.org/officeDocument/2006/relationships/hyperlink" Target="https://meteor.aihw.gov.au/content/728363" TargetMode="External" Id="R31598d5f7cd246da" /><Relationship Type="http://schemas.openxmlformats.org/officeDocument/2006/relationships/hyperlink" Target="https://meteor.aihw.gov.au/RegistrationAuthority/18" TargetMode="External" Id="R743c75ce8f864d8b" /><Relationship Type="http://schemas.openxmlformats.org/officeDocument/2006/relationships/hyperlink" Target="https://meteor.aihw.gov.au/content/728502" TargetMode="External" Id="R22e2836a220749e1" /><Relationship Type="http://schemas.openxmlformats.org/officeDocument/2006/relationships/hyperlink" Target="https://meteor.aihw.gov.au/RegistrationAuthority/18" TargetMode="External" Id="R4c76657109974eff" /></Relationships>
</file>

<file path=word/_rels/header1.xml.rels>&#65279;<?xml version="1.0" encoding="utf-8"?><Relationships xmlns="http://schemas.openxmlformats.org/package/2006/relationships"><Relationship Type="http://schemas.openxmlformats.org/officeDocument/2006/relationships/image" Target="/media/image.png" Id="R75de4506ae014b4e" /></Relationships>
</file>