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ad0dac09624576"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acute myocardial infarction hospitalisations with coronary angiography per 100,000 people, 35-84 years,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acute myocardial infarction hospitalisations with coronary angiography per 100,000 people, 35-84 years,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Acute myocardial infarction hospitalisations with coronary angiography 35-84 years,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01a0eafda4ddf">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acute myocardial infarction hospitalisations with coronary angiography per 100,000 people aged 35-84 years,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50efdf2b6641c4">
              <w:r>
                <w:rPr>
                  <w:rStyle w:val="Hyperlink"/>
                </w:rPr>
                <w:t xml:space="preserve">Australian Atlas of Healthcare Variation 2017</w:t>
              </w:r>
            </w:hyperlink>
          </w:p>
          <w:p>
            <w:pPr>
              <w:spacing w:before="0" w:after="0"/>
            </w:pPr>
            <w:r>
              <w:rPr>
                <w:rStyle w:val="row-content"/>
                <w:color w:val="244061"/>
              </w:rPr>
              <w:t xml:space="preserve">       </w:t>
            </w:r>
            <w:hyperlink w:history="true" r:id="R3409979e87114ffc">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 </w:t>
                  </w:r>
                </w:p>
                <w:tbl>
                  <w:tblPr>
                    <w:tblStyle w:val="InnerTable"/>
                    <w:tblW w:w="5000" w:type="pct"/>
                    <w:tblLayout w:type="autofit"/>
                  </w:tblPr>
                  <w:tblGrid>
                    <w:gridCol/>
                    <w:gridCol/>
                    <w:gridCol/>
                  </w:tblGrid>
                  <w:tr>
                    <w:trPr/>
                    <w:tc>
                      <w:tcPr>
                        <w:tcW w:w="1050" w:type="pct"/>
                        <w:vAlign w:val="top"/>
                      </w:tcPr>
                      <w:p>
                        <w:pPr/>
                        <w:r>
                          <w:rPr>
                            <w:rStyle w:val="row-content-rich-text"/>
                            <w:b/>
                          </w:rPr>
                          <w:t xml:space="preserve">ICD-10-AM 8th edn code</w:t>
                        </w:r>
                      </w:p>
                    </w:tc>
                    <w:tc>
                      <w:tcPr>
                        <w:tcW w:w="1400" w:type="pct"/>
                        <w:vAlign w:val="top"/>
                      </w:tcPr>
                      <w:p>
                        <w:r>
                          <w:rPr>
                            <w:b/>
                          </w:rPr>
                          <w:t xml:space="preserve">Description</w:t>
                        </w:r>
                      </w:p>
                    </w:tc>
                    <w:tc>
                      <w:tcPr>
                        <w:tcW w:w="2500" w:type="pct"/>
                        <w:vAlign w:val="top"/>
                      </w:tcPr>
                      <w:p>
                        <w:r>
                          <w:rPr>
                            <w:b/>
                          </w:rPr>
                          <w:t xml:space="preserve">Additional requirements</w:t>
                        </w:r>
                      </w:p>
                    </w:tc>
                  </w:tr>
                  <w:tr>
                    <w:trPr/>
                    <w:tc>
                      <w:tcPr>
                        <w:tcW w:w="1050" w:type="pct"/>
                        <w:vAlign w:val="top"/>
                      </w:tcPr>
                      <w:p>
                        <w:r>
                          <w:t xml:space="preserve">I21.0</w:t>
                        </w:r>
                      </w:p>
                    </w:tc>
                    <w:tc>
                      <w:tcPr>
                        <w:tcW w:w="1400" w:type="pct"/>
                        <w:vAlign w:val="top"/>
                      </w:tcPr>
                      <w:p>
                        <w:r>
                          <w:t xml:space="preserve">Acute transmural myocardial infarction of anterior wall</w:t>
                        </w:r>
                      </w:p>
                    </w:tc>
                    <w:tc>
                      <w:tcPr>
                        <w:tcW w:w="2500" w:type="pct"/>
                        <w:vMerge w:val="restart"/>
                        <w:vAlign w:val="top"/>
                      </w:tcPr>
                      <w:p>
                        <w:r>
                          <w:t xml:space="preserve">Principal diagnosis</w:t>
                        </w:r>
                      </w:p>
                    </w:tc>
                  </w:tr>
                  <w:tr>
                    <w:trPr/>
                    <w:tc>
                      <w:tcPr>
                        <w:tcW w:w="1050" w:type="pct"/>
                        <w:vAlign w:val="top"/>
                      </w:tcPr>
                      <w:p>
                        <w:r>
                          <w:t xml:space="preserve">I21.1</w:t>
                        </w:r>
                      </w:p>
                    </w:tc>
                    <w:tc>
                      <w:tcPr>
                        <w:tcW w:w="1400" w:type="pct"/>
                        <w:vMerge/>
                      </w:tcPr>
                      <w:p/>
                    </w:tc>
                    <w:tc>
                      <w:tcPr>
                        <w:tcW w:w="2500" w:type="pct"/>
                        <w:vAlign w:val="top"/>
                      </w:tcPr>
                      <w:p>
                        <w:r>
                          <w:t xml:space="preserve">Acute transmural myocardial infarction of inferior wall</w:t>
                        </w:r>
                      </w:p>
                    </w:tc>
                  </w:tr>
                  <w:tr>
                    <w:trPr/>
                    <w:tc>
                      <w:tcPr>
                        <w:tcW w:w="1050" w:type="pct"/>
                        <w:vAlign w:val="top"/>
                      </w:tcPr>
                      <w:p>
                        <w:r>
                          <w:t xml:space="preserve">I21.2</w:t>
                        </w:r>
                      </w:p>
                    </w:tc>
                    <w:tc>
                      <w:tcPr>
                        <w:tcW w:w="1400" w:type="pct"/>
                        <w:vMerge/>
                      </w:tcPr>
                      <w:p/>
                    </w:tc>
                    <w:tc>
                      <w:tcPr>
                        <w:tcW w:w="2500" w:type="pct"/>
                        <w:vAlign w:val="top"/>
                      </w:tcPr>
                      <w:p>
                        <w:r>
                          <w:t xml:space="preserve">Acute transmural myocardial infarction of other sites</w:t>
                        </w:r>
                      </w:p>
                    </w:tc>
                  </w:tr>
                  <w:tr>
                    <w:trPr/>
                    <w:tc>
                      <w:tcPr>
                        <w:tcW w:w="1050" w:type="pct"/>
                        <w:vAlign w:val="top"/>
                      </w:tcPr>
                      <w:p>
                        <w:r>
                          <w:t xml:space="preserve">I21.3</w:t>
                        </w:r>
                      </w:p>
                    </w:tc>
                    <w:tc>
                      <w:tcPr>
                        <w:tcW w:w="1400" w:type="pct"/>
                        <w:vMerge/>
                      </w:tcPr>
                      <w:p/>
                    </w:tc>
                    <w:tc>
                      <w:tcPr>
                        <w:tcW w:w="2500" w:type="pct"/>
                        <w:vAlign w:val="top"/>
                      </w:tcPr>
                      <w:p>
                        <w:r>
                          <w:t xml:space="preserve">Acute transmural myocardial infarction of unspecified site</w:t>
                        </w:r>
                      </w:p>
                    </w:tc>
                  </w:tr>
                  <w:tr>
                    <w:trPr/>
                    <w:tc>
                      <w:tcPr>
                        <w:tcW w:w="1050" w:type="pct"/>
                        <w:vAlign w:val="top"/>
                      </w:tcPr>
                      <w:p>
                        <w:r>
                          <w:t xml:space="preserve">I21.4</w:t>
                        </w:r>
                      </w:p>
                    </w:tc>
                    <w:tc>
                      <w:tcPr>
                        <w:tcW w:w="1400" w:type="pct"/>
                        <w:vMerge/>
                      </w:tcPr>
                      <w:p/>
                    </w:tc>
                    <w:tc>
                      <w:tcPr>
                        <w:tcW w:w="2500" w:type="pct"/>
                        <w:vAlign w:val="top"/>
                      </w:tcPr>
                      <w:p>
                        <w:r>
                          <w:t xml:space="preserve">Acute subendocardial myocardial infarction</w:t>
                        </w:r>
                      </w:p>
                    </w:tc>
                  </w:tr>
                  <w:tr>
                    <w:trPr/>
                    <w:tc>
                      <w:tcPr>
                        <w:tcW w:w="1050" w:type="pct"/>
                        <w:vAlign w:val="top"/>
                      </w:tcPr>
                      <w:p>
                        <w:r>
                          <w:t xml:space="preserve">I21.9</w:t>
                        </w:r>
                      </w:p>
                    </w:tc>
                    <w:tc>
                      <w:tcPr>
                        <w:tcW w:w="1400" w:type="pct"/>
                        <w:vMerge/>
                      </w:tcPr>
                      <w:p/>
                    </w:tc>
                    <w:tc>
                      <w:tcPr>
                        <w:tcW w:w="2500" w:type="pct"/>
                        <w:vAlign w:val="top"/>
                      </w:tcPr>
                      <w:p>
                        <w:r>
                          <w:t xml:space="preserve">Acute myocardial infarction, unspecified</w:t>
                        </w:r>
                      </w:p>
                    </w:tc>
                  </w:tr>
                </w:tbl>
                <w:p>
                  <w:r>
                    <w:rPr>
                      <w:b/>
                    </w:rPr>
                    <w:t xml:space="preserve"> </w:t>
                  </w:r>
                </w:p>
                <w:tbl>
                  <w:tblPr>
                    <w:tblStyle w:val="InnerTable"/>
                    <w:tblW w:w="5000" w:type="pct"/>
                    <w:tblLayout w:type="autofit"/>
                  </w:tblPr>
                  <w:tblGrid>
                    <w:gridCol/>
                    <w:gridCol/>
                    <w:gridCol/>
                  </w:tblGrid>
                  <w:tr>
                    <w:trPr/>
                    <w:tc>
                      <w:tcPr>
                        <w:tcW w:w="1700" w:type="pct"/>
                        <w:vAlign w:val="top"/>
                      </w:tcPr>
                      <w:p>
                        <w:r>
                          <w:rPr>
                            <w:b/>
                          </w:rPr>
                          <w:t xml:space="preserve">ACHI 8th edition code</w:t>
                        </w:r>
                      </w:p>
                    </w:tc>
                    <w:tc>
                      <w:tcPr>
                        <w:tcW w:w="750" w:type="pct"/>
                        <w:vAlign w:val="top"/>
                      </w:tcPr>
                      <w:p>
                        <w:r>
                          <w:rPr>
                            <w:b/>
                          </w:rPr>
                          <w:t xml:space="preserve">Description</w:t>
                        </w:r>
                      </w:p>
                    </w:tc>
                    <w:tc>
                      <w:tcPr>
                        <w:tcW w:w="2500" w:type="pct"/>
                        <w:vAlign w:val="top"/>
                      </w:tcPr>
                      <w:p>
                        <w:r>
                          <w:rPr>
                            <w:b/>
                          </w:rPr>
                          <w:t xml:space="preserve">Additional requirements</w:t>
                        </w:r>
                      </w:p>
                    </w:tc>
                  </w:tr>
                  <w:tr>
                    <w:trPr/>
                    <w:tc>
                      <w:tcPr>
                        <w:tcW w:w="1700" w:type="pct"/>
                        <w:vAlign w:val="top"/>
                      </w:tcPr>
                      <w:p>
                        <w:r>
                          <w:t xml:space="preserve">38215-00 [668]</w:t>
                        </w:r>
                      </w:p>
                    </w:tc>
                    <w:tc>
                      <w:tcPr>
                        <w:tcW w:w="750" w:type="pct"/>
                        <w:vAlign w:val="top"/>
                      </w:tcPr>
                      <w:p>
                        <w:r>
                          <w:t xml:space="preserve">Coronary angiography</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700" w:type="pct"/>
                        <w:vAlign w:val="top"/>
                      </w:tcPr>
                      <w:p>
                        <w:r>
                          <w:t xml:space="preserve">38218-00 [668]</w:t>
                        </w:r>
                      </w:p>
                    </w:tc>
                    <w:tc>
                      <w:tcPr>
                        <w:tcW w:w="750" w:type="pct"/>
                        <w:vMerge/>
                      </w:tcPr>
                      <w:p/>
                    </w:tc>
                    <w:tc>
                      <w:tcPr>
                        <w:tcW w:w="2500" w:type="pct"/>
                        <w:vAlign w:val="top"/>
                      </w:tcPr>
                      <w:p>
                        <w:r>
                          <w:t xml:space="preserve">Coronary angiography with left heart catheterisation</w:t>
                        </w:r>
                      </w:p>
                    </w:tc>
                  </w:tr>
                  <w:tr>
                    <w:trPr/>
                    <w:tc>
                      <w:tcPr>
                        <w:tcW w:w="1700" w:type="pct"/>
                        <w:vAlign w:val="top"/>
                      </w:tcPr>
                      <w:p>
                        <w:r>
                          <w:t xml:space="preserve">38218-01 [668]</w:t>
                        </w:r>
                      </w:p>
                    </w:tc>
                    <w:tc>
                      <w:tcPr>
                        <w:tcW w:w="750" w:type="pct"/>
                        <w:vMerge/>
                      </w:tcPr>
                      <w:p/>
                    </w:tc>
                    <w:tc>
                      <w:tcPr>
                        <w:tcW w:w="2500" w:type="pct"/>
                        <w:vAlign w:val="top"/>
                      </w:tcPr>
                      <w:p>
                        <w:r>
                          <w:t xml:space="preserve">Coronary angiography with right heart catheterisation</w:t>
                        </w:r>
                      </w:p>
                    </w:tc>
                  </w:tr>
                  <w:tr>
                    <w:trPr/>
                    <w:tc>
                      <w:tcPr>
                        <w:tcW w:w="1700" w:type="pct"/>
                        <w:vAlign w:val="top"/>
                      </w:tcPr>
                      <w:p>
                        <w:r>
                          <w:t xml:space="preserve">38218-02 [668]</w:t>
                        </w:r>
                      </w:p>
                    </w:tc>
                    <w:tc>
                      <w:tcPr>
                        <w:tcW w:w="750" w:type="pct"/>
                        <w:vMerge/>
                      </w:tcPr>
                      <w:p/>
                    </w:tc>
                    <w:tc>
                      <w:tcPr>
                        <w:tcW w:w="2500" w:type="pct"/>
                        <w:vAlign w:val="top"/>
                      </w:tcPr>
                      <w:p>
                        <w:r>
                          <w:t xml:space="preserve">Coronary angiography with left and right heart catheterisation</w:t>
                        </w:r>
                      </w:p>
                    </w:tc>
                  </w:tr>
                </w:tbl>
                <w:p>
                  <w:r>
                    <w:t xml:space="preserve"> </w:t>
                  </w:r>
                </w:p>
                <w:tbl>
                  <w:tblPr>
                    <w:tblStyle w:val="InnerTable"/>
                    <w:tblW w:w="5000" w:type="pct"/>
                    <w:tblLayout w:type="autofit"/>
                  </w:tblPr>
                  <w:tblGrid>
                    <w:gridCol/>
                    <w:gridCol/>
                  </w:tblGrid>
                  <w:tr>
                    <w:trPr/>
                    <w:tc>
                      <w:tcPr>
                        <w:tcW w:w="1700" w:type="pct"/>
                        <w:vAlign w:val="top"/>
                      </w:tcPr>
                      <w:p>
                        <w:r>
                          <w:rPr>
                            <w:b/>
                          </w:rPr>
                          <w:t xml:space="preserve">Care type </w:t>
                        </w:r>
                      </w:p>
                    </w:tc>
                    <w:tc>
                      <w:tcPr>
                        <w:tcW w:w="3250" w:type="pct"/>
                        <w:vAlign w:val="top"/>
                      </w:tcPr>
                      <w:p>
                        <w:r>
                          <w:rPr>
                            <w:b/>
                          </w:rPr>
                          <w:t xml:space="preserve">Description</w:t>
                        </w:r>
                      </w:p>
                    </w:tc>
                  </w:tr>
                  <w:tr>
                    <w:trPr/>
                    <w:tc>
                      <w:tcPr>
                        <w:tcW w:w="1700" w:type="pct"/>
                        <w:vAlign w:val="top"/>
                      </w:tcPr>
                      <w:p>
                        <w:r>
                          <w:t xml:space="preserve">1</w:t>
                        </w:r>
                      </w:p>
                    </w:tc>
                    <w:tc>
                      <w:tcPr>
                        <w:tcW w:w="3250" w:type="pct"/>
                        <w:vAlign w:val="top"/>
                      </w:tcPr>
                      <w:p>
                        <w:r>
                          <w:t xml:space="preserve">Acute care</w:t>
                        </w:r>
                      </w:p>
                    </w:tc>
                  </w:tr>
                </w:tbl>
                <w:p>
                  <w:r>
                    <w:t xml:space="preserve"> </w:t>
                  </w:r>
                </w:p>
                <w:p>
                  <w:r>
                    <w:t xml:space="preserve">Presented as a number per 100,000 people.</w:t>
                  </w:r>
                </w:p>
                <w:p>
                  <w:r>
                    <w:t xml:space="preserve">Rates are directly age- and sex- standardised, to the 2001 Australian population aged 35-84, using 5-year age groups: 35-39, 40-44, … , 80-84.</w:t>
                  </w:r>
                </w:p>
                <w:p>
                  <w:r>
                    <w:t xml:space="preserve">Indigenous and other Australian rates are directly age and sex standardised, to the 2001 Australian population aged 35-84, using 5-year age groups: 35-39, 40-44, … , 60–64, 65-84.</w:t>
                  </w:r>
                </w:p>
                <w:p>
                  <w:r>
                    <w:t xml:space="preserve">For more information about age-standardisation in general see </w:t>
                  </w:r>
                  <w:hyperlink w:history="true" r:id="R48b1d720ad634401">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w:t>
                  </w:r>
                  <w:r>
                    <w:t xml:space="preserve">           </w:t>
                  </w:r>
                  <w:r>
                    <w:t xml:space="preserve">the total denominator is less than 1,000</w:t>
                  </w:r>
                </w:p>
                <w:p>
                  <w:r>
                    <w:t xml:space="preserve">·</w:t>
                  </w:r>
                  <w:r>
                    <w:t xml:space="preserve">           </w:t>
                  </w:r>
                  <w:r>
                    <w:t xml:space="preserve">the total numerator is less than 20</w:t>
                  </w:r>
                </w:p>
                <w:p>
                  <w:r>
                    <w:t xml:space="preserve">Age and sex standardised rates are suppressed where the denominator for at least one of the age and sex groups used to calculate the rate is below 30.</w:t>
                  </w:r>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d741de9af048ee">
              <w:r>
                <w:rPr>
                  <w:rStyle w:val="Hyperlink"/>
                </w:rPr>
                <w:t xml:space="preserve">Person—date of birth, DDMMYYYY</w:t>
              </w:r>
            </w:hyperlink>
          </w:p>
          <w:p>
            <w:r>
              <w:rPr>
                <w:rStyle w:val="row-content"/>
                <w:b/>
              </w:rPr>
              <w:t xml:space="preserve">Data Source</w:t>
            </w:r>
          </w:p>
          <w:p>
            <w:hyperlink w:history="true" r:id="R83d4d5e80e434f3c">
              <w:r>
                <w:rPr>
                  <w:rStyle w:val="Hyperlink"/>
                </w:rPr>
                <w:t xml:space="preserve">National Hospital Morbidity Database (NHMD)</w:t>
              </w:r>
            </w:hyperlink>
          </w:p>
          <w:p>
            <w:r>
              <w:rPr>
                <w:rStyle w:val="row-content"/>
                <w:b/>
              </w:rPr>
              <w:t xml:space="preserve">NMDS / DSS</w:t>
            </w:r>
          </w:p>
          <w:p>
            <w:hyperlink w:history="true" r:id="Red012125165e424d">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874d996c373a4164">
              <w:r>
                <w:rPr>
                  <w:rStyle w:val="Hyperlink"/>
                </w:rPr>
                <w:t xml:space="preserve">Episode of admitted patient care—procedure, code (ACHI 8th edn) NNNNN-NN</w:t>
              </w:r>
            </w:hyperlink>
          </w:p>
          <w:p>
            <w:r>
              <w:rPr>
                <w:rStyle w:val="row-content"/>
                <w:b/>
              </w:rPr>
              <w:t xml:space="preserve">Data Source</w:t>
            </w:r>
          </w:p>
          <w:p>
            <w:hyperlink w:history="true" r:id="R90d4ada1448648d7">
              <w:r>
                <w:rPr>
                  <w:rStyle w:val="Hyperlink"/>
                </w:rPr>
                <w:t xml:space="preserve">National Hospital Morbidity Database (NHMD)</w:t>
              </w:r>
            </w:hyperlink>
          </w:p>
          <w:p>
            <w:r>
              <w:rPr>
                <w:rStyle w:val="row-content"/>
                <w:b/>
              </w:rPr>
              <w:t xml:space="preserve">NMDS / DSS</w:t>
            </w:r>
          </w:p>
          <w:p>
            <w:hyperlink w:history="true" r:id="R23c838f3f1d547a3">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ebff88ca4f4d62">
              <w:r>
                <w:rPr>
                  <w:rStyle w:val="Hyperlink"/>
                </w:rPr>
                <w:t xml:space="preserve">Episode of care—principal diagnosis, code (ICD-10-AM 8th edn) ANN{.N[N]}</w:t>
              </w:r>
            </w:hyperlink>
          </w:p>
          <w:p>
            <w:r>
              <w:rPr>
                <w:rStyle w:val="row-content"/>
                <w:b/>
              </w:rPr>
              <w:t xml:space="preserve">Data Source</w:t>
            </w:r>
          </w:p>
          <w:p>
            <w:hyperlink w:history="true" r:id="Rd8c7049b40a04d49">
              <w:r>
                <w:rPr>
                  <w:rStyle w:val="Hyperlink"/>
                </w:rPr>
                <w:t xml:space="preserve">National Hospital Morbidity Database (NHMD)</w:t>
              </w:r>
            </w:hyperlink>
          </w:p>
          <w:p>
            <w:r>
              <w:rPr>
                <w:rStyle w:val="row-content"/>
                <w:b/>
              </w:rPr>
              <w:t xml:space="preserve">NMDS / DSS</w:t>
            </w:r>
          </w:p>
          <w:p>
            <w:hyperlink w:history="true" r:id="Rbf5bc9df6e034fdb">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30f1bb4e655b4646">
              <w:r>
                <w:rPr>
                  <w:rStyle w:val="Hyperlink"/>
                </w:rPr>
                <w:t xml:space="preserve">Hospital service—care type, code N[N]</w:t>
              </w:r>
            </w:hyperlink>
          </w:p>
          <w:p>
            <w:r>
              <w:rPr>
                <w:rStyle w:val="row-content"/>
                <w:b/>
              </w:rPr>
              <w:t xml:space="preserve">Data Source</w:t>
            </w:r>
          </w:p>
          <w:p>
            <w:hyperlink w:history="true" r:id="Re257e77254264f3a">
              <w:r>
                <w:rPr>
                  <w:rStyle w:val="Hyperlink"/>
                </w:rPr>
                <w:t xml:space="preserve">National Hospital Morbidity Database (NHMD)</w:t>
              </w:r>
            </w:hyperlink>
          </w:p>
          <w:p>
            <w:r>
              <w:rPr>
                <w:rStyle w:val="row-content"/>
                <w:b/>
              </w:rPr>
              <w:t xml:space="preserve">NMDS / DSS</w:t>
            </w:r>
          </w:p>
          <w:p>
            <w:hyperlink w:history="true" r:id="Rf9560491532b4f75">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01977550bf244ce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ab07b63ca5ac4e5e">
              <w:r>
                <w:rPr>
                  <w:rStyle w:val="Hyperlink"/>
                </w:rPr>
                <w:t xml:space="preserve">Person—estimated resident population of Australia, total people N[N(7)]</w:t>
              </w:r>
            </w:hyperlink>
          </w:p>
          <w:p>
            <w:r>
              <w:rPr>
                <w:rStyle w:val="row-content"/>
                <w:b/>
              </w:rPr>
              <w:t xml:space="preserve">Data Source</w:t>
            </w:r>
          </w:p>
          <w:p>
            <w:hyperlink w:history="true" r:id="R0b1ecde78db6467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62cb23d5624bd7">
              <w:r>
                <w:rPr>
                  <w:rStyle w:val="Hyperlink"/>
                </w:rPr>
                <w:t xml:space="preserve">Person—area of usual residence, statistical area level 2 (SA2) code (ASGS 2011) N(9)</w:t>
              </w:r>
            </w:hyperlink>
          </w:p>
          <w:p>
            <w:r>
              <w:rPr>
                <w:rStyle w:val="row-content"/>
                <w:b/>
              </w:rPr>
              <w:t xml:space="preserve">Data Source</w:t>
            </w:r>
          </w:p>
          <w:p>
            <w:hyperlink w:history="true" r:id="R44849fa855344b99">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2bdb49ae7e4fe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6cd8ea7a7374b7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584b499366a498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e9c416392a640d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3953fa2e6c442f5">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spacing w:after="160"/>
            </w:pPr>
            <w:r>
              <w:rPr>
                <w:rStyle w:val="row-content-rich-text"/>
              </w:rPr>
              <w:t xml:space="preserve"> </w:t>
            </w:r>
          </w:p>
          <w:p>
            <w:pPr/>
            <w:r>
              <w:rPr>
                <w:rStyle w:val="row-content-rich-text"/>
              </w:rPr>
              <w:t xml:space="preserve">For additional context, the proportion of hospitalisations involving a transfer to another acute hospital (mode of separation = 1) was also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bl>
    <w:p>
      <w:r>
        <w:br/>
      </w:r>
    </w:p>
    <w:sectPr>
      <w:footerReference xmlns:r="http://schemas.openxmlformats.org/officeDocument/2006/relationships" w:type="default" r:id="Rf2a2d0edd59c46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640841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8e7e7368a2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2d0edd59c46f1" /><Relationship Type="http://schemas.openxmlformats.org/officeDocument/2006/relationships/header" Target="/word/header1.xml" Id="R1459c9c0b7e04667" /><Relationship Type="http://schemas.openxmlformats.org/officeDocument/2006/relationships/settings" Target="/word/settings.xml" Id="R509a1c5aeffc4a63" /><Relationship Type="http://schemas.openxmlformats.org/officeDocument/2006/relationships/styles" Target="/word/styles.xml" Id="Ra3135357b8f64327" /><Relationship Type="http://schemas.openxmlformats.org/officeDocument/2006/relationships/hyperlink" Target="https://meteor.aihw.gov.au/RegistrationAuthority/18" TargetMode="External" Id="R5c101a0eafda4ddf" /><Relationship Type="http://schemas.openxmlformats.org/officeDocument/2006/relationships/hyperlink" Target="https://meteor.aihw.gov.au/content/674758" TargetMode="External" Id="R2650efdf2b6641c4" /><Relationship Type="http://schemas.openxmlformats.org/officeDocument/2006/relationships/hyperlink" Target="https://meteor.aihw.gov.au/RegistrationAuthority/18" TargetMode="External" Id="R3409979e87114ffc" /><Relationship Type="http://schemas.openxmlformats.org/officeDocument/2006/relationships/hyperlink" Target="https://meteor.aihw.gov.au/content/327276" TargetMode="External" Id="R48b1d720ad634401" /><Relationship Type="http://schemas.openxmlformats.org/officeDocument/2006/relationships/hyperlink" Target="https://meteor.aihw.gov.au/content/270391" TargetMode="External" Id="Rbdd741de9af048ee" /><Relationship Type="http://schemas.openxmlformats.org/officeDocument/2006/relationships/hyperlink" Target="https://meteor.aihw.gov.au/content/394352" TargetMode="External" Id="R83d4d5e80e434f3c" /><Relationship Type="http://schemas.openxmlformats.org/officeDocument/2006/relationships/hyperlink" Target="https://meteor.aihw.gov.au/content/535047" TargetMode="External" Id="Red012125165e424d" /><Relationship Type="http://schemas.openxmlformats.org/officeDocument/2006/relationships/hyperlink" Target="https://meteor.aihw.gov.au/content/514040" TargetMode="External" Id="R874d996c373a4164" /><Relationship Type="http://schemas.openxmlformats.org/officeDocument/2006/relationships/hyperlink" Target="https://meteor.aihw.gov.au/content/394352" TargetMode="External" Id="R90d4ada1448648d7" /><Relationship Type="http://schemas.openxmlformats.org/officeDocument/2006/relationships/hyperlink" Target="https://meteor.aihw.gov.au/content/535047" TargetMode="External" Id="R23c838f3f1d547a3" /><Relationship Type="http://schemas.openxmlformats.org/officeDocument/2006/relationships/hyperlink" Target="https://meteor.aihw.gov.au/content/514273" TargetMode="External" Id="R94ebff88ca4f4d62" /><Relationship Type="http://schemas.openxmlformats.org/officeDocument/2006/relationships/hyperlink" Target="https://meteor.aihw.gov.au/content/394352" TargetMode="External" Id="Rd8c7049b40a04d49" /><Relationship Type="http://schemas.openxmlformats.org/officeDocument/2006/relationships/hyperlink" Target="https://meteor.aihw.gov.au/content/535047" TargetMode="External" Id="Rbf5bc9df6e034fdb" /><Relationship Type="http://schemas.openxmlformats.org/officeDocument/2006/relationships/hyperlink" Target="https://meteor.aihw.gov.au/content/544594" TargetMode="External" Id="R30f1bb4e655b4646" /><Relationship Type="http://schemas.openxmlformats.org/officeDocument/2006/relationships/hyperlink" Target="https://meteor.aihw.gov.au/content/394352" TargetMode="External" Id="Re257e77254264f3a" /><Relationship Type="http://schemas.openxmlformats.org/officeDocument/2006/relationships/hyperlink" Target="https://meteor.aihw.gov.au/content/535047" TargetMode="External" Id="Rf9560491532b4f75" /><Relationship Type="http://schemas.openxmlformats.org/officeDocument/2006/relationships/hyperlink" Target="https://meteor.aihw.gov.au/content/394092" TargetMode="External" Id="R01977550bf244ce0" /><Relationship Type="http://schemas.openxmlformats.org/officeDocument/2006/relationships/hyperlink" Target="https://meteor.aihw.gov.au/content/388656" TargetMode="External" Id="Rab07b63ca5ac4e5e" /><Relationship Type="http://schemas.openxmlformats.org/officeDocument/2006/relationships/hyperlink" Target="https://meteor.aihw.gov.au/content/393625" TargetMode="External" Id="R0b1ecde78db64679" /><Relationship Type="http://schemas.openxmlformats.org/officeDocument/2006/relationships/numbering" Target="/word/numbering.xml" Id="R7617bafccfc54104" /><Relationship Type="http://schemas.openxmlformats.org/officeDocument/2006/relationships/hyperlink" Target="https://meteor.aihw.gov.au/content/469909" TargetMode="External" Id="Rce62cb23d5624bd7" /><Relationship Type="http://schemas.openxmlformats.org/officeDocument/2006/relationships/hyperlink" Target="https://meteor.aihw.gov.au/content/394352" TargetMode="External" Id="R44849fa855344b99" /><Relationship Type="http://schemas.openxmlformats.org/officeDocument/2006/relationships/hyperlink" Target="https://meteor.aihw.gov.au/content/394092" TargetMode="External" Id="R252bdb49ae7e4fec" /><Relationship Type="http://schemas.openxmlformats.org/officeDocument/2006/relationships/hyperlink" Target="https://meteor.aihw.gov.au/content/449223" TargetMode="External" Id="Re6cd8ea7a7374b7f" /><Relationship Type="http://schemas.openxmlformats.org/officeDocument/2006/relationships/hyperlink" Target="https://meteor.aihw.gov.au/content/394352" TargetMode="External" Id="R7584b499366a4983" /><Relationship Type="http://schemas.openxmlformats.org/officeDocument/2006/relationships/hyperlink" Target="https://meteor.aihw.gov.au/content/393625" TargetMode="External" Id="R4e9c416392a640df" /><Relationship Type="http://schemas.openxmlformats.org/officeDocument/2006/relationships/hyperlink" Target="https://meteor.aihw.gov.au/content/449216" TargetMode="External" Id="R13953fa2e6c442f5" /></Relationships>
</file>

<file path=word/_rels/header1.xml.rels>&#65279;<?xml version="1.0" encoding="utf-8"?><Relationships xmlns="http://schemas.openxmlformats.org/package/2006/relationships"><Relationship Type="http://schemas.openxmlformats.org/officeDocument/2006/relationships/image" Target="/media/image.png" Id="R2a8e7e7368a24cf0" /></Relationships>
</file>