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780d37dca64ed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Third- and fourth-degree perineal tears for all vaginal births, 2012-2014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Third- and fourth-degree perineal tears for all vaginal births, 2012-2014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Third and fourth degree perineal tears for all vaginal births,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367ab54374c0b">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have a third or fourth degree perineal laceration after giving birth vaginally, age standardised. Data are disaggregated by the area in which the mother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their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6cf758907f42b9">
              <w:r>
                <w:rPr>
                  <w:rStyle w:val="Hyperlink"/>
                </w:rPr>
                <w:t xml:space="preserve">Australian Atlas of Healthcare Variation 2017</w:t>
              </w:r>
            </w:hyperlink>
          </w:p>
          <w:p>
            <w:pPr>
              <w:spacing w:before="0" w:after="0"/>
            </w:pPr>
            <w:r>
              <w:rPr>
                <w:rStyle w:val="row-content"/>
                <w:color w:val="244061"/>
              </w:rPr>
              <w:t xml:space="preserve">       </w:t>
            </w:r>
            <w:hyperlink w:history="true" r:id="Rbc09b1b6867d40c1">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15-44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third or fourth degree perineal laceration after giving birth vaginally.</w:t>
            </w:r>
          </w:p>
          <w:p>
            <w:pPr>
              <w:spacing w:after="160"/>
            </w:pPr>
            <w:r>
              <w:rPr>
                <w:rStyle w:val="row-content-rich-text"/>
                <w:b/>
              </w:rPr>
              <w:t xml:space="preserve">In</w:t>
            </w:r>
            <w:r>
              <w:rPr>
                <w:rStyle w:val="row-content-rich-text"/>
                <w:b/>
              </w:rPr>
              <w:t xml:space="preserve">clusion codes and descriptions:</w:t>
            </w:r>
            <w:r>
              <w:br/>
            </w:r>
            <w:r>
              <w:rPr>
                <w:rStyle w:val="row-content-rich-text"/>
                <w:b/>
              </w:rPr>
              <w:t xml:space="preserve">Birth Method</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1</w:t>
                  </w:r>
                </w:p>
              </w:tc>
              <w:tc>
                <w:tcPr>
                  <w:tcW w:w="4000" w:type="pct"/>
                  <w:vAlign w:val="top"/>
                </w:tcPr>
                <w:p>
                  <w:r>
                    <w:t xml:space="preserve">Vaginal - non-instrumental</w:t>
                  </w:r>
                </w:p>
              </w:tc>
            </w:tr>
            <w:tr>
              <w:trPr/>
              <w:tc>
                <w:tcPr>
                  <w:tcW w:w="1000" w:type="pct"/>
                  <w:vAlign w:val="top"/>
                </w:tcPr>
                <w:p>
                  <w:r>
                    <w:t xml:space="preserve">2</w:t>
                  </w:r>
                </w:p>
              </w:tc>
              <w:tc>
                <w:tcPr>
                  <w:tcW w:w="4000" w:type="pct"/>
                  <w:vAlign w:val="top"/>
                </w:tcPr>
                <w:p>
                  <w:r>
                    <w:t xml:space="preserve">Vaginal - forceps</w:t>
                  </w:r>
                </w:p>
              </w:tc>
            </w:tr>
            <w:tr>
              <w:trPr/>
              <w:tc>
                <w:tcPr>
                  <w:tcW w:w="1000" w:type="pct"/>
                  <w:vAlign w:val="top"/>
                </w:tcPr>
                <w:p>
                  <w:r>
                    <w:t xml:space="preserve">5</w:t>
                  </w:r>
                </w:p>
              </w:tc>
              <w:tc>
                <w:tcPr>
                  <w:tcW w:w="4000" w:type="pct"/>
                  <w:vAlign w:val="top"/>
                </w:tcPr>
                <w:p>
                  <w:r>
                    <w:t xml:space="preserve">Vaginal - vacuum extraction</w:t>
                  </w:r>
                </w:p>
              </w:tc>
            </w:tr>
          </w:tbl>
          <w:p>
            <w:r>
              <w:t xml:space="preserve"> </w:t>
            </w:r>
          </w:p>
          <w:p>
            <w:r>
              <w:rPr>
                <w:b/>
              </w:rPr>
              <w:t xml:space="preserve">Postpartum perineal status</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4</w:t>
                  </w:r>
                </w:p>
              </w:tc>
              <w:tc>
                <w:tcPr>
                  <w:tcW w:w="4000" w:type="pct"/>
                  <w:vAlign w:val="top"/>
                </w:tcPr>
                <w:p>
                  <w:r>
                    <w:t xml:space="preserve">3rd degree laceration</w:t>
                  </w:r>
                </w:p>
              </w:tc>
            </w:tr>
            <w:tr>
              <w:trPr/>
              <w:tc>
                <w:tcPr>
                  <w:tcW w:w="1000" w:type="pct"/>
                  <w:vAlign w:val="top"/>
                </w:tcPr>
                <w:p>
                  <w:r>
                    <w:t xml:space="preserve">7</w:t>
                  </w:r>
                </w:p>
              </w:tc>
              <w:tc>
                <w:tcPr>
                  <w:tcW w:w="4000" w:type="pct"/>
                  <w:vAlign w:val="top"/>
                </w:tcPr>
                <w:p>
                  <w:r>
                    <w:t xml:space="preserve">4th degree laceration</w:t>
                  </w:r>
                </w:p>
              </w:tc>
            </w:tr>
          </w:tbl>
          <w:p>
            <w:r>
              <w:t xml:space="preserve"> </w:t>
            </w:r>
          </w:p>
          <w:p>
            <w:r>
              <w:t xml:space="preserve">Presented as a number per 1,000 women.</w:t>
            </w:r>
          </w:p>
          <w:p>
            <w:r>
              <w:t xml:space="preserve">Rates are directly age standardised to the 2001 Australian female population aged 15–44, using the age groups: 15-19, 20-24, 25-29, 30-34 and 35-44.</w:t>
            </w:r>
          </w:p>
          <w:p>
            <w:r>
              <w:t xml:space="preserve">For more information about age-standardisation in general see </w:t>
            </w:r>
            <w:hyperlink w:history="true" r:id="R5f87921a999249e6">
              <w:r>
                <w:rPr>
                  <w:rStyle w:val="Hyperlink"/>
                </w:rPr>
                <w:t xml:space="preserve">/content/index.phtml/itemId/327276</w:t>
              </w:r>
            </w:hyperlink>
          </w:p>
          <w:p>
            <w:r>
              <w:t xml:space="preserve"> </w:t>
            </w:r>
          </w:p>
          <w:p>
            <w:r>
              <w:t xml:space="preserve">Analysis by Statistical Area Level 3 (SA3) is based on </w:t>
            </w:r>
            <w:r>
              <w:t xml:space="preserve">usual residence of the mother. </w:t>
            </w:r>
          </w:p>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b1d62fd3d64842">
              <w:r>
                <w:rPr>
                  <w:rStyle w:val="Hyperlink"/>
                </w:rPr>
                <w:t xml:space="preserve">Person—date of birth, DDMMYYYY</w:t>
              </w:r>
            </w:hyperlink>
          </w:p>
          <w:p>
            <w:r>
              <w:rPr>
                <w:rStyle w:val="row-content"/>
                <w:b/>
              </w:rPr>
              <w:t xml:space="preserve">Data Source</w:t>
            </w:r>
          </w:p>
          <w:p>
            <w:hyperlink w:history="true" r:id="R12a6248cc67f4796">
              <w:r>
                <w:rPr>
                  <w:rStyle w:val="Hyperlink"/>
                </w:rPr>
                <w:t xml:space="preserve">AIHW National Perinatal Data Collection (NPDC)</w:t>
              </w:r>
            </w:hyperlink>
          </w:p>
          <w:p>
            <w:r>
              <w:rPr>
                <w:rStyle w:val="row-content"/>
                <w:b/>
              </w:rPr>
              <w:t xml:space="preserve">NMDS / DSS</w:t>
            </w:r>
          </w:p>
          <w:p>
            <w:hyperlink w:history="true" r:id="Rac6149113c934b2c">
              <w:r>
                <w:rPr>
                  <w:rStyle w:val="Hyperlink"/>
                </w:rPr>
                <w:t xml:space="preserve">Perinatal NMDS 2014-18</w:t>
              </w:r>
            </w:hyperlink>
          </w:p>
          <w:p>
            <w:r>
              <w:rPr>
                <w:rStyle w:val="row-content"/>
                <w:b/>
              </w:rPr>
              <w:t xml:space="preserve">Guide for use</w:t>
            </w:r>
          </w:p>
          <w:p>
            <w:r>
              <w:rPr>
                <w:rStyle w:val="row-content"/>
              </w:rPr>
              <w:t xml:space="preserve"> </w:t>
            </w:r>
          </w:p>
          <w:p>
            <w:hyperlink w:history="true" r:id="R802018871c474c5b">
              <w:r>
                <w:rPr>
                  <w:rStyle w:val="Hyperlink"/>
                </w:rPr>
                <w:t xml:space="preserve">Perinatal NMDS 2012-13</w:t>
              </w:r>
            </w:hyperlink>
          </w:p>
          <w:p>
            <w:hyperlink w:history="true" r:id="Rf4ee714781604d12">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12c32e6969324c78">
              <w:r>
                <w:rPr>
                  <w:rStyle w:val="Hyperlink"/>
                </w:rPr>
                <w:t xml:space="preserve">Birth event—birth method, code N</w:t>
              </w:r>
            </w:hyperlink>
          </w:p>
          <w:p>
            <w:r>
              <w:rPr>
                <w:rStyle w:val="row-content"/>
                <w:b/>
              </w:rPr>
              <w:t xml:space="preserve">Data Source</w:t>
            </w:r>
          </w:p>
          <w:p>
            <w:hyperlink w:history="true" r:id="R8750948c38e44d04">
              <w:r>
                <w:rPr>
                  <w:rStyle w:val="Hyperlink"/>
                </w:rPr>
                <w:t xml:space="preserve">AIHW National Perinatal Data Collection (NPDC)</w:t>
              </w:r>
            </w:hyperlink>
          </w:p>
          <w:p>
            <w:r>
              <w:rPr>
                <w:rStyle w:val="row-content"/>
                <w:b/>
              </w:rPr>
              <w:t xml:space="preserve">NMDS / DSS</w:t>
            </w:r>
          </w:p>
          <w:p>
            <w:hyperlink w:history="true" r:id="Rf6e0d019c4804221">
              <w:r>
                <w:rPr>
                  <w:rStyle w:val="Hyperlink"/>
                </w:rPr>
                <w:t xml:space="preserve">Perinatal NMDS 2014-18</w:t>
              </w:r>
            </w:hyperlink>
          </w:p>
          <w:p>
            <w:r>
              <w:rPr>
                <w:rStyle w:val="row-content"/>
                <w:b/>
              </w:rPr>
              <w:t xml:space="preserve">Guide for use</w:t>
            </w:r>
          </w:p>
          <w:p>
            <w:r>
              <w:rPr>
                <w:rStyle w:val="row-content"/>
              </w:rPr>
              <w:t xml:space="preserve"> </w:t>
            </w:r>
          </w:p>
          <w:p>
            <w:hyperlink w:history="true" r:id="R3d07aacaaa494846">
              <w:r>
                <w:rPr>
                  <w:rStyle w:val="Hyperlink"/>
                </w:rPr>
                <w:t xml:space="preserve">Perinatal NMDS 2012-13</w:t>
              </w:r>
            </w:hyperlink>
          </w:p>
          <w:p>
            <w:hyperlink w:history="true" r:id="Re0adfff345d34f75">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bbb9deaa9a8b4379">
              <w:r>
                <w:rPr>
                  <w:rStyle w:val="Hyperlink"/>
                </w:rPr>
                <w:t xml:space="preserve">Female (mother)—postpartum perineal status, code N[N]</w:t>
              </w:r>
            </w:hyperlink>
          </w:p>
          <w:p>
            <w:r>
              <w:rPr>
                <w:rStyle w:val="row-content"/>
                <w:b/>
              </w:rPr>
              <w:t xml:space="preserve">Data Source</w:t>
            </w:r>
          </w:p>
          <w:p>
            <w:hyperlink w:history="true" r:id="R728502d874f343dd">
              <w:r>
                <w:rPr>
                  <w:rStyle w:val="Hyperlink"/>
                </w:rPr>
                <w:t xml:space="preserve">AIHW National Perinatal Data Collection (NPDC)</w:t>
              </w:r>
            </w:hyperlink>
          </w:p>
          <w:p>
            <w:r>
              <w:rPr>
                <w:rStyle w:val="row-content"/>
                <w:b/>
              </w:rPr>
              <w:t xml:space="preserve">NMDS / DSS</w:t>
            </w:r>
          </w:p>
          <w:p>
            <w:hyperlink w:history="true" r:id="Rc930f991110a4015">
              <w:r>
                <w:rPr>
                  <w:rStyle w:val="Hyperlink"/>
                </w:rPr>
                <w:t xml:space="preserve">Perinatal NMDS 2014-18</w:t>
              </w:r>
            </w:hyperlink>
          </w:p>
          <w:p>
            <w:r>
              <w:rPr>
                <w:rStyle w:val="row-content"/>
                <w:b/>
              </w:rPr>
              <w:t xml:space="preserve">Guide for use</w:t>
            </w:r>
          </w:p>
          <w:p>
            <w:r>
              <w:rPr>
                <w:rStyle w:val="row-content"/>
              </w:rPr>
              <w:t xml:space="preserve"> </w:t>
            </w:r>
          </w:p>
          <w:p>
            <w:hyperlink w:history="true" r:id="R1f721e3331884ed7">
              <w:r>
                <w:rPr>
                  <w:rStyle w:val="Hyperlink"/>
                </w:rPr>
                <w:t xml:space="preserve">Perinatal NMDS 2012-13</w:t>
              </w:r>
            </w:hyperlink>
          </w:p>
          <w:p>
            <w:hyperlink w:history="true" r:id="Rf89ce3396a404d26">
              <w:r>
                <w:rPr>
                  <w:rStyle w:val="Hyperlink"/>
                </w:rPr>
                <w:t xml:space="preserve">Perinatal NMDS 2013-14</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vaginally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19300a37ed4a86">
              <w:r>
                <w:rPr>
                  <w:rStyle w:val="Hyperlink"/>
                </w:rPr>
                <w:t xml:space="preserve">Birth event—birth method, code N</w:t>
              </w:r>
            </w:hyperlink>
          </w:p>
          <w:p>
            <w:r>
              <w:rPr>
                <w:rStyle w:val="row-content"/>
                <w:b/>
              </w:rPr>
              <w:t xml:space="preserve">Data Source</w:t>
            </w:r>
          </w:p>
          <w:p>
            <w:hyperlink w:history="true" r:id="Rc789a50186964b6d">
              <w:r>
                <w:rPr>
                  <w:rStyle w:val="Hyperlink"/>
                </w:rPr>
                <w:t xml:space="preserve">AIHW National Perinatal Data Collection (NPDC)</w:t>
              </w:r>
            </w:hyperlink>
          </w:p>
          <w:p>
            <w:r>
              <w:rPr>
                <w:rStyle w:val="row-content"/>
                <w:b/>
              </w:rPr>
              <w:t xml:space="preserve">NMDS / DSS</w:t>
            </w:r>
          </w:p>
          <w:p>
            <w:hyperlink w:history="true" r:id="Rcbbc634aa0f344aa">
              <w:r>
                <w:rPr>
                  <w:rStyle w:val="Hyperlink"/>
                </w:rPr>
                <w:t xml:space="preserve">Perinatal NMDS 2014-18</w:t>
              </w:r>
            </w:hyperlink>
          </w:p>
          <w:p>
            <w:r>
              <w:rPr>
                <w:rStyle w:val="row-content"/>
                <w:b/>
              </w:rPr>
              <w:t xml:space="preserve">Guide for use</w:t>
            </w:r>
          </w:p>
          <w:p>
            <w:r>
              <w:rPr>
                <w:rStyle w:val="row-content"/>
              </w:rPr>
              <w:t xml:space="preserve"> </w:t>
            </w:r>
          </w:p>
          <w:p>
            <w:hyperlink w:history="true" r:id="R08f3b7ff14d44b8e">
              <w:r>
                <w:rPr>
                  <w:rStyle w:val="Hyperlink"/>
                </w:rPr>
                <w:t xml:space="preserve">Perinatal NMDS 2012-13</w:t>
              </w:r>
            </w:hyperlink>
          </w:p>
          <w:p>
            <w:hyperlink w:history="true" r:id="Raff7d710e1524892">
              <w:r>
                <w:rPr>
                  <w:rStyle w:val="Hyperlink"/>
                </w:rPr>
                <w:t xml:space="preserve">Perinatal NMDS 2013-14</w:t>
              </w:r>
            </w:hyperlink>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 :</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spacing w:after="160"/>
            </w:pPr>
            <w:r>
              <w:rPr>
                <w:rStyle w:val="row-content-rich-text"/>
              </w:rPr>
              <w:t xml:space="preserve">Patient elected accommodation status</w:t>
            </w:r>
            <w:r>
              <w:rPr>
                <w:rStyle w:val="row-content-rich-text"/>
              </w:rPr>
              <w:t xml:space="preserve"> </w:t>
            </w:r>
          </w:p>
          <w:p>
            <w:pPr>
              <w:spacing w:after="160"/>
            </w:pPr>
            <w:r>
              <w:rPr>
                <w:rStyle w:val="row-content-rich-text"/>
              </w:rPr>
              <w:t xml:space="preserve">Cells of less than 5 have been suppressed. This is the lowest level of suppression that all states and territories have agreed to for the release of data from the National Perinatal Data Collection.</w:t>
            </w:r>
            <w:r>
              <w:rPr>
                <w:rStyle w:val="row-content-rich-text"/>
              </w:rPr>
              <w:t xml:space="preserve">             </w:t>
            </w:r>
          </w:p>
          <w:p>
            <w:pPr>
              <w:spacing w:after="160"/>
            </w:pPr>
            <w:r>
              <w:rPr>
                <w:rStyle w:val="row-content-rich-text"/>
              </w:rPr>
              <w:t xml:space="preserve">Crude rates have been suppressed where the denominator is less than 100, for reliability purposes. The corresponding age standardised rate has also been suppressed in these cases.</w:t>
            </w:r>
            <w:r>
              <w:rPr>
                <w:rStyle w:val="row-content-rich-text"/>
              </w:rPr>
              <w:t xml:space="preserve">              </w:t>
            </w:r>
          </w:p>
          <w:p>
            <w:pPr/>
            <w:r>
              <w:rPr>
                <w:rStyle w:val="row-content-rich-text"/>
                <w:color w:val="000000"/>
              </w:rPr>
              <w:t xml:space="preserve">In addition, age standardised rates have been suppressed where the denominator for any age-stratified groups have fewer than 10 individuals.</w:t>
            </w:r>
            <w:r>
              <w:rPr>
                <w:rStyle w:val="row-content-rich-text"/>
                <w:color w:val="000000"/>
              </w:rPr>
              <w:t xml:space="preserve"> </w:t>
            </w:r>
            <w:r>
              <w:rPr>
                <w:rStyle w:val="row-content-rich-text"/>
                <w:color w:val="00000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a97d0025bc4a86">
              <w:r>
                <w:rPr>
                  <w:rStyle w:val="Hyperlink"/>
                </w:rPr>
                <w:t xml:space="preserve">Person—area of usual residence, statistical area level 2 (SA2) code (ASGS 2016) N(9)</w:t>
              </w:r>
            </w:hyperlink>
          </w:p>
          <w:p>
            <w:r>
              <w:rPr>
                <w:rStyle w:val="row-content"/>
                <w:b/>
              </w:rPr>
              <w:t xml:space="preserve">Data Source</w:t>
            </w:r>
          </w:p>
          <w:p>
            <w:hyperlink w:history="true" r:id="R94f66c1a11c84b48">
              <w:r>
                <w:rPr>
                  <w:rStyle w:val="Hyperlink"/>
                </w:rPr>
                <w:t xml:space="preserve">AIHW National Perinatal Data Collection (NPDC)</w:t>
              </w:r>
            </w:hyperlink>
          </w:p>
          <w:p>
            <w:r>
              <w:rPr>
                <w:rStyle w:val="row-content"/>
                <w:b/>
              </w:rPr>
              <w:t xml:space="preserve">NMDS / DSS</w:t>
            </w:r>
          </w:p>
          <w:p>
            <w:hyperlink w:history="true" r:id="R1f551e1d7d624e16">
              <w:r>
                <w:rPr>
                  <w:rStyle w:val="Hyperlink"/>
                </w:rPr>
                <w:t xml:space="preserve">Perinatal NMDS 2014-18</w:t>
              </w:r>
            </w:hyperlink>
          </w:p>
          <w:p>
            <w:r>
              <w:rPr>
                <w:rStyle w:val="row-content"/>
                <w:b/>
              </w:rPr>
              <w:t xml:space="preserve">Guide for use</w:t>
            </w:r>
          </w:p>
          <w:p>
            <w:r>
              <w:rPr>
                <w:rStyle w:val="row-content"/>
              </w:rPr>
              <w:t xml:space="preserve"> </w:t>
            </w:r>
          </w:p>
          <w:p>
            <w:hyperlink w:history="true" r:id="R3be5fab2ab9447ea">
              <w:r>
                <w:rPr>
                  <w:rStyle w:val="Hyperlink"/>
                </w:rPr>
                <w:t xml:space="preserve">Perinatal NMDS 2012-13</w:t>
              </w:r>
            </w:hyperlink>
          </w:p>
          <w:p>
            <w:hyperlink w:history="true" r:id="R319d03f142764baa">
              <w:r>
                <w:rPr>
                  <w:rStyle w:val="Hyperlink"/>
                </w:rPr>
                <w:t xml:space="preserve">Perinatal NMDS 2013-14</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 </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 </w:t>
            </w:r>
          </w:p>
          <w:p>
            <w:pPr>
              <w:spacing w:after="160"/>
            </w:pPr>
            <w:r>
              <w:rPr>
                <w:rStyle w:val="row-content-rich-text"/>
              </w:rPr>
              <w:t xml:space="preserve">Births excluded are caesarean sections.</w:t>
            </w:r>
          </w:p>
          <w:p>
            <w:pPr>
              <w:spacing w:after="160"/>
            </w:pPr>
            <w:r>
              <w:rPr>
                <w:rStyle w:val="row-content-rich-text"/>
              </w:rPr>
              <w:t xml:space="preserve">Postpartum perineal status is defined as:</w:t>
            </w:r>
          </w:p>
          <w:p>
            <w:pPr>
              <w:spacing w:after="160"/>
            </w:pPr>
            <w:r>
              <w:rPr>
                <w:rStyle w:val="row-content-rich-text"/>
                <w:b/>
              </w:rPr>
              <w:t xml:space="preserve">1st degree laceration/vaginal graze (Code 2)—</w:t>
            </w:r>
            <w:r>
              <w:rPr>
                <w:rStyle w:val="row-content-rich-text"/>
              </w:rPr>
              <w:t xml:space="preserve">Graze, laceration, rupture or tear of the perineal skin during delivery that may be considered to be slight or that involves one or more of the following structures:</w:t>
            </w:r>
          </w:p>
          <w:p>
            <w:pPr>
              <w:spacing w:after="160"/>
            </w:pPr>
            <w:r>
              <w:rPr>
                <w:rStyle w:val="row-content-rich-text"/>
              </w:rPr>
              <w:t xml:space="preserve">fourchette</w:t>
            </w:r>
          </w:p>
          <w:p>
            <w:pPr>
              <w:spacing w:after="160"/>
            </w:pPr>
            <w:r>
              <w:rPr>
                <w:rStyle w:val="row-content-rich-text"/>
              </w:rPr>
              <w:t xml:space="preserve">labia</w:t>
            </w:r>
          </w:p>
          <w:p>
            <w:pPr>
              <w:spacing w:after="160"/>
            </w:pPr>
            <w:r>
              <w:rPr>
                <w:rStyle w:val="row-content-rich-text"/>
              </w:rPr>
              <w:t xml:space="preserve">periurethral tissue (excluding involvement of urethra)</w:t>
            </w:r>
          </w:p>
          <w:p>
            <w:pPr>
              <w:spacing w:after="160"/>
            </w:pPr>
            <w:r>
              <w:rPr>
                <w:rStyle w:val="row-content-rich-text"/>
              </w:rPr>
              <w:t xml:space="preserve">vagina</w:t>
            </w:r>
          </w:p>
          <w:p>
            <w:pPr>
              <w:spacing w:after="160"/>
            </w:pPr>
            <w:r>
              <w:rPr>
                <w:rStyle w:val="row-content-rich-text"/>
              </w:rPr>
              <w:t xml:space="preserve">low vulva.</w:t>
            </w:r>
          </w:p>
          <w:p>
            <w:pPr>
              <w:spacing w:after="160"/>
            </w:pPr>
            <w:r>
              <w:rPr>
                <w:rStyle w:val="row-content-rich-text"/>
                <w:b/>
              </w:rPr>
              <w:t xml:space="preserve">2nd degree laceration (Code 3)—</w:t>
            </w:r>
            <w:r>
              <w:rPr>
                <w:rStyle w:val="row-content-rich-text"/>
              </w:rPr>
              <w:t xml:space="preserve">Perineal laceration, rupture or tear as in Code 2 occurring during delivery, also involving:</w:t>
            </w:r>
          </w:p>
          <w:p>
            <w:pPr>
              <w:spacing w:after="160"/>
            </w:pPr>
            <w:r>
              <w:rPr>
                <w:rStyle w:val="row-content-rich-text"/>
              </w:rPr>
              <w:t xml:space="preserve">pelvic floor</w:t>
            </w:r>
          </w:p>
          <w:p>
            <w:pPr>
              <w:spacing w:after="160"/>
            </w:pPr>
            <w:r>
              <w:rPr>
                <w:rStyle w:val="row-content-rich-text"/>
              </w:rPr>
              <w:t xml:space="preserve">perineal muscles</w:t>
            </w:r>
          </w:p>
          <w:p>
            <w:pPr>
              <w:spacing w:after="160"/>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b/>
              </w:rPr>
              <w:t xml:space="preserve">3rd degree laceration (Code 4)—</w:t>
            </w:r>
            <w:r>
              <w:rPr>
                <w:rStyle w:val="row-content-rich-text"/>
              </w:rPr>
              <w:t xml:space="preserve">Perineal laceration, rupture or tear as in Code 3 occurring during delivery, also involving:</w:t>
            </w:r>
          </w:p>
          <w:p>
            <w:pPr>
              <w:spacing w:after="160"/>
            </w:pPr>
            <w:r>
              <w:rPr>
                <w:rStyle w:val="row-content-rich-text"/>
              </w:rPr>
              <w:t xml:space="preserve">anal sphincter (excluding involvement of anal or rectal mucosa)</w:t>
            </w:r>
          </w:p>
          <w:p>
            <w:pPr>
              <w:spacing w:after="160"/>
            </w:pPr>
            <w:r>
              <w:rPr>
                <w:rStyle w:val="row-content-rich-text"/>
              </w:rPr>
              <w:t xml:space="preserve">rectovaginal septum</w:t>
            </w:r>
          </w:p>
          <w:p>
            <w:pPr>
              <w:pStyle w:val="ListParagraph"/>
              <w:numPr>
                <w:ilvl w:val="0"/>
                <w:numId w:val="6"/>
              </w:numPr>
            </w:pPr>
            <w:r>
              <w:rPr>
                <w:rStyle w:val="row-content-rich-text"/>
              </w:rPr>
              <w:t xml:space="preserve">sphincter not otherwise specified (NOS).</w:t>
            </w:r>
          </w:p>
          <w:p>
            <w:pPr>
              <w:spacing w:after="160"/>
            </w:pPr>
            <w:r>
              <w:rPr>
                <w:rStyle w:val="row-content-rich-text"/>
              </w:rPr>
              <w:t xml:space="preserve">           Excludes laceration involving the anal or rectal mucosa.</w:t>
            </w:r>
          </w:p>
          <w:p>
            <w:pPr>
              <w:spacing w:after="160"/>
            </w:pPr>
            <w:r>
              <w:rPr>
                <w:rStyle w:val="row-content-rich-text"/>
              </w:rPr>
              <w:t xml:space="preserve"> </w:t>
            </w:r>
          </w:p>
          <w:p>
            <w:pPr>
              <w:spacing w:after="160"/>
            </w:pPr>
            <w:r>
              <w:rPr>
                <w:rStyle w:val="row-content-rich-text"/>
                <w:b/>
              </w:rPr>
              <w:t xml:space="preserve">4th degree laceration (Code 7)—</w:t>
            </w:r>
            <w:r>
              <w:rPr>
                <w:rStyle w:val="row-content-rich-text"/>
              </w:rPr>
              <w:t xml:space="preserve">Perineal laceration, rupture or tear as in Code 4 occurring during delivery, also involving:</w:t>
            </w:r>
          </w:p>
          <w:p>
            <w:pPr>
              <w:spacing w:after="160"/>
            </w:pPr>
            <w:r>
              <w:rPr>
                <w:rStyle w:val="row-content-rich-text"/>
              </w:rPr>
              <w:t xml:space="preserve">anal mucosa</w:t>
            </w:r>
          </w:p>
          <w:p>
            <w:pPr>
              <w:spacing w:after="160"/>
            </w:pPr>
            <w:r>
              <w:rPr>
                <w:rStyle w:val="row-content-rich-text"/>
              </w:rPr>
              <w:t xml:space="preserve">rectal mucosa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214f46b15c402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29622d2accf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639086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0e3985154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622d2accf4d8e" /><Relationship Type="http://schemas.openxmlformats.org/officeDocument/2006/relationships/header" Target="/word/header1.xml" Id="Rc761489deb2149f2" /><Relationship Type="http://schemas.openxmlformats.org/officeDocument/2006/relationships/settings" Target="/word/settings.xml" Id="Re3ed31511fe74e07" /><Relationship Type="http://schemas.openxmlformats.org/officeDocument/2006/relationships/styles" Target="/word/styles.xml" Id="R361d8aa66e1544ee" /><Relationship Type="http://schemas.openxmlformats.org/officeDocument/2006/relationships/hyperlink" Target="https://meteor.aihw.gov.au/RegistrationAuthority/18" TargetMode="External" Id="R156367ab54374c0b" /><Relationship Type="http://schemas.openxmlformats.org/officeDocument/2006/relationships/hyperlink" Target="https://meteor.aihw.gov.au/content/674758" TargetMode="External" Id="Rdd6cf758907f42b9" /><Relationship Type="http://schemas.openxmlformats.org/officeDocument/2006/relationships/hyperlink" Target="https://meteor.aihw.gov.au/RegistrationAuthority/18" TargetMode="External" Id="Rbc09b1b6867d40c1" /><Relationship Type="http://schemas.openxmlformats.org/officeDocument/2006/relationships/hyperlink" Target="https://meteor.aihw.gov.au/content/327276" TargetMode="External" Id="R5f87921a999249e6" /><Relationship Type="http://schemas.openxmlformats.org/officeDocument/2006/relationships/hyperlink" Target="https://meteor.aihw.gov.au/content/287007" TargetMode="External" Id="R43b1d62fd3d64842" /><Relationship Type="http://schemas.openxmlformats.org/officeDocument/2006/relationships/hyperlink" Target="https://meteor.aihw.gov.au/content/392479" TargetMode="External" Id="R12a6248cc67f4796" /><Relationship Type="http://schemas.openxmlformats.org/officeDocument/2006/relationships/hyperlink" Target="https://meteor.aihw.gov.au/content/517456" TargetMode="External" Id="Rac6149113c934b2c" /><Relationship Type="http://schemas.openxmlformats.org/officeDocument/2006/relationships/hyperlink" Target="http://www.meteor.aihw.gov.au/content/%20index.phtml/itemId/461787" TargetMode="External" Id="R802018871c474c5b" /><Relationship Type="http://schemas.openxmlformats.org/officeDocument/2006/relationships/hyperlink" Target="https://meteor.aihw.gov.au/content/489433" TargetMode="External" Id="Rf4ee714781604d12" /><Relationship Type="http://schemas.openxmlformats.org/officeDocument/2006/relationships/hyperlink" Target="https://meteor.aihw.gov.au/content/295349" TargetMode="External" Id="R12c32e6969324c78" /><Relationship Type="http://schemas.openxmlformats.org/officeDocument/2006/relationships/hyperlink" Target="https://meteor.aihw.gov.au/content/392479" TargetMode="External" Id="R8750948c38e44d04" /><Relationship Type="http://schemas.openxmlformats.org/officeDocument/2006/relationships/hyperlink" Target="https://meteor.aihw.gov.au/content/517456" TargetMode="External" Id="Rf6e0d019c4804221" /><Relationship Type="http://schemas.openxmlformats.org/officeDocument/2006/relationships/hyperlink" Target="http://www.meteor.aihw.gov.au/content/%20index.phtml/itemId/461787" TargetMode="External" Id="R3d07aacaaa494846" /><Relationship Type="http://schemas.openxmlformats.org/officeDocument/2006/relationships/hyperlink" Target="https://meteor.aihw.gov.au/content/489433" TargetMode="External" Id="Re0adfff345d34f75" /><Relationship Type="http://schemas.openxmlformats.org/officeDocument/2006/relationships/hyperlink" Target="https://meteor.aihw.gov.au/content/423659" TargetMode="External" Id="Rbbb9deaa9a8b4379" /><Relationship Type="http://schemas.openxmlformats.org/officeDocument/2006/relationships/hyperlink" Target="https://meteor.aihw.gov.au/content/392479" TargetMode="External" Id="R728502d874f343dd" /><Relationship Type="http://schemas.openxmlformats.org/officeDocument/2006/relationships/hyperlink" Target="https://meteor.aihw.gov.au/content/517456" TargetMode="External" Id="Rc930f991110a4015" /><Relationship Type="http://schemas.openxmlformats.org/officeDocument/2006/relationships/hyperlink" Target="http://www.meteor.aihw.gov.au/content/%20index.phtml/itemId/461787" TargetMode="External" Id="R1f721e3331884ed7" /><Relationship Type="http://schemas.openxmlformats.org/officeDocument/2006/relationships/hyperlink" Target="https://meteor.aihw.gov.au/content/489433" TargetMode="External" Id="Rf89ce3396a404d26" /><Relationship Type="http://schemas.openxmlformats.org/officeDocument/2006/relationships/hyperlink" Target="https://meteor.aihw.gov.au/content/295349" TargetMode="External" Id="Rc819300a37ed4a86" /><Relationship Type="http://schemas.openxmlformats.org/officeDocument/2006/relationships/hyperlink" Target="https://meteor.aihw.gov.au/content/392479" TargetMode="External" Id="Rc789a50186964b6d" /><Relationship Type="http://schemas.openxmlformats.org/officeDocument/2006/relationships/hyperlink" Target="https://meteor.aihw.gov.au/content/517456" TargetMode="External" Id="Rcbbc634aa0f344aa" /><Relationship Type="http://schemas.openxmlformats.org/officeDocument/2006/relationships/hyperlink" Target="http://www.meteor.aihw.gov.au/content/%20index.phtml/itemId/461787" TargetMode="External" Id="R08f3b7ff14d44b8e" /><Relationship Type="http://schemas.openxmlformats.org/officeDocument/2006/relationships/hyperlink" Target="https://meteor.aihw.gov.au/content/489433" TargetMode="External" Id="Raff7d710e1524892" /><Relationship Type="http://schemas.openxmlformats.org/officeDocument/2006/relationships/numbering" Target="/word/numbering.xml" Id="R839aaf12295d4072" /><Relationship Type="http://schemas.openxmlformats.org/officeDocument/2006/relationships/hyperlink" Target="https://meteor.aihw.gov.au/content/659725" TargetMode="External" Id="Rb9a97d0025bc4a86" /><Relationship Type="http://schemas.openxmlformats.org/officeDocument/2006/relationships/hyperlink" Target="https://meteor.aihw.gov.au/content/392479" TargetMode="External" Id="R94f66c1a11c84b48" /><Relationship Type="http://schemas.openxmlformats.org/officeDocument/2006/relationships/hyperlink" Target="https://meteor.aihw.gov.au/content/517456" TargetMode="External" Id="R1f551e1d7d624e16" /><Relationship Type="http://schemas.openxmlformats.org/officeDocument/2006/relationships/hyperlink" Target="http://www.meteor.aihw.gov.au/content/%20index.phtml/itemId/461787" TargetMode="External" Id="R3be5fab2ab9447ea" /><Relationship Type="http://schemas.openxmlformats.org/officeDocument/2006/relationships/hyperlink" Target="https://meteor.aihw.gov.au/content/489433" TargetMode="External" Id="R319d03f142764baa" /><Relationship Type="http://schemas.openxmlformats.org/officeDocument/2006/relationships/hyperlink" Target="https://meteor.aihw.gov.au/content/392479" TargetMode="External" Id="R65214f46b15c4024" /></Relationships>
</file>

<file path=word/_rels/header1.xml.rels>&#65279;<?xml version="1.0" encoding="utf-8"?><Relationships xmlns="http://schemas.openxmlformats.org/package/2006/relationships"><Relationship Type="http://schemas.openxmlformats.org/officeDocument/2006/relationships/image" Target="/media/image.png" Id="R2920e39851544dfd" /></Relationships>
</file>