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e73d9e44b04cc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kidney and urinary tract infections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kidney and urinary tract infections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Kidney and urinary tract infection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8fbe2bdea4ed7">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kidney and urinary tract infections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3340c5c9604d50">
              <w:r>
                <w:rPr>
                  <w:rStyle w:val="Hyperlink"/>
                </w:rPr>
                <w:t xml:space="preserve">Australian Atlas of Healthcare Variation 2017</w:t>
              </w:r>
            </w:hyperlink>
          </w:p>
          <w:p>
            <w:pPr>
              <w:spacing w:before="0" w:after="0"/>
            </w:pPr>
            <w:r>
              <w:rPr>
                <w:rStyle w:val="row-content"/>
                <w:color w:val="244061"/>
              </w:rPr>
              <w:t xml:space="preserve">       </w:t>
            </w:r>
            <w:hyperlink w:history="true" r:id="R14628a439a824b0a">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350" w:type="pct"/>
                  <w:vAlign w:val="top"/>
                </w:tcPr>
                <w:p>
                  <w:pPr/>
                  <w:r>
                    <w:rPr>
                      <w:rStyle w:val="row-content-rich-text"/>
                      <w:b/>
                    </w:rPr>
                    <w:t xml:space="preserve">ICD-10-AM 8th edition code</w:t>
                  </w:r>
                </w:p>
              </w:tc>
              <w:tc>
                <w:tcPr>
                  <w:tcW w:w="1100" w:type="pct"/>
                  <w:vAlign w:val="top"/>
                </w:tcPr>
                <w:p>
                  <w:r>
                    <w:rPr>
                      <w:b/>
                    </w:rPr>
                    <w:t xml:space="preserve">ICD-10-AM Description</w:t>
                  </w:r>
                </w:p>
              </w:tc>
              <w:tc>
                <w:tcPr>
                  <w:tcW w:w="2500" w:type="pct"/>
                  <w:vAlign w:val="top"/>
                </w:tcPr>
                <w:p>
                  <w:r>
                    <w:rPr>
                      <w:b/>
                    </w:rPr>
                    <w:t xml:space="preserve">Additional requirements</w:t>
                  </w:r>
                </w:p>
              </w:tc>
            </w:tr>
            <w:tr>
              <w:trPr/>
              <w:tc>
                <w:tcPr>
                  <w:tcW w:w="1350" w:type="pct"/>
                  <w:vAlign w:val="top"/>
                </w:tcPr>
                <w:p>
                  <w:r>
                    <w:t xml:space="preserve">N10</w:t>
                  </w:r>
                </w:p>
              </w:tc>
              <w:tc>
                <w:tcPr>
                  <w:tcW w:w="1100" w:type="pct"/>
                  <w:vAlign w:val="top"/>
                </w:tcPr>
                <w:p>
                  <w:r>
                    <w:t xml:space="preserve">Acute tubulo-interstitial nephritis</w:t>
                  </w:r>
                </w:p>
              </w:tc>
              <w:tc>
                <w:tcPr>
                  <w:tcW w:w="2500" w:type="pct"/>
                  <w:vMerge w:val="restart"/>
                  <w:vAlign w:val="top"/>
                </w:tcPr>
                <w:p>
                  <w:r>
                    <w:t xml:space="preserve">Principal diagnosis only</w:t>
                  </w:r>
                </w:p>
              </w:tc>
            </w:tr>
            <w:tr>
              <w:trPr/>
              <w:tc>
                <w:tcPr>
                  <w:tcW w:w="1350" w:type="pct"/>
                  <w:vAlign w:val="top"/>
                </w:tcPr>
                <w:p>
                  <w:r>
                    <w:t xml:space="preserve">N11.0</w:t>
                  </w:r>
                </w:p>
              </w:tc>
              <w:tc>
                <w:tcPr>
                  <w:tcW w:w="1100" w:type="pct"/>
                  <w:vMerge/>
                </w:tcPr>
                <w:p/>
              </w:tc>
              <w:tc>
                <w:tcPr>
                  <w:tcW w:w="2500" w:type="pct"/>
                  <w:vAlign w:val="top"/>
                </w:tcPr>
                <w:p>
                  <w:r>
                    <w:t xml:space="preserve">Nonobstructive reflux-associated pyelonephritis</w:t>
                  </w:r>
                </w:p>
              </w:tc>
            </w:tr>
            <w:tr>
              <w:trPr/>
              <w:tc>
                <w:tcPr>
                  <w:tcW w:w="1350" w:type="pct"/>
                  <w:vAlign w:val="top"/>
                </w:tcPr>
                <w:p>
                  <w:r>
                    <w:t xml:space="preserve">N11.1</w:t>
                  </w:r>
                </w:p>
              </w:tc>
              <w:tc>
                <w:tcPr>
                  <w:tcW w:w="1100" w:type="pct"/>
                  <w:vMerge/>
                </w:tcPr>
                <w:p/>
              </w:tc>
              <w:tc>
                <w:tcPr>
                  <w:tcW w:w="2500" w:type="pct"/>
                  <w:vAlign w:val="top"/>
                </w:tcPr>
                <w:p>
                  <w:r>
                    <w:t xml:space="preserve">Chronic obstructive pyelonephritis</w:t>
                  </w:r>
                </w:p>
              </w:tc>
            </w:tr>
            <w:tr>
              <w:trPr/>
              <w:tc>
                <w:tcPr>
                  <w:tcW w:w="1350" w:type="pct"/>
                  <w:vAlign w:val="top"/>
                </w:tcPr>
                <w:p>
                  <w:r>
                    <w:t xml:space="preserve">N11.8</w:t>
                  </w:r>
                </w:p>
              </w:tc>
              <w:tc>
                <w:tcPr>
                  <w:tcW w:w="1100" w:type="pct"/>
                  <w:vMerge/>
                </w:tcPr>
                <w:p/>
              </w:tc>
              <w:tc>
                <w:tcPr>
                  <w:tcW w:w="2500" w:type="pct"/>
                  <w:vAlign w:val="top"/>
                </w:tcPr>
                <w:p>
                  <w:r>
                    <w:t xml:space="preserve">Other chronic tubulo-interstitial nephritis</w:t>
                  </w:r>
                </w:p>
              </w:tc>
            </w:tr>
            <w:tr>
              <w:trPr/>
              <w:tc>
                <w:tcPr>
                  <w:tcW w:w="1350" w:type="pct"/>
                  <w:vAlign w:val="top"/>
                </w:tcPr>
                <w:p>
                  <w:r>
                    <w:t xml:space="preserve">N11.9</w:t>
                  </w:r>
                </w:p>
              </w:tc>
              <w:tc>
                <w:tcPr>
                  <w:tcW w:w="1100" w:type="pct"/>
                  <w:vMerge/>
                </w:tcPr>
                <w:p/>
              </w:tc>
              <w:tc>
                <w:tcPr>
                  <w:tcW w:w="2500" w:type="pct"/>
                  <w:vAlign w:val="top"/>
                </w:tcPr>
                <w:p>
                  <w:r>
                    <w:t xml:space="preserve">Chronic tubule-interstitial nephritis, unspecified</w:t>
                  </w:r>
                </w:p>
              </w:tc>
            </w:tr>
            <w:tr>
              <w:trPr/>
              <w:tc>
                <w:tcPr>
                  <w:tcW w:w="1350" w:type="pct"/>
                  <w:vAlign w:val="top"/>
                </w:tcPr>
                <w:p>
                  <w:r>
                    <w:t xml:space="preserve">N12</w:t>
                  </w:r>
                </w:p>
              </w:tc>
              <w:tc>
                <w:tcPr>
                  <w:tcW w:w="1100" w:type="pct"/>
                  <w:vMerge/>
                </w:tcPr>
                <w:p/>
              </w:tc>
              <w:tc>
                <w:tcPr>
                  <w:tcW w:w="2500" w:type="pct"/>
                  <w:vAlign w:val="top"/>
                </w:tcPr>
                <w:p>
                  <w:r>
                    <w:t xml:space="preserve">Tubulo-interstitial nephritis, not specified as acute or chronic</w:t>
                  </w:r>
                </w:p>
              </w:tc>
            </w:tr>
            <w:tr>
              <w:trPr/>
              <w:tc>
                <w:tcPr>
                  <w:tcW w:w="1350" w:type="pct"/>
                  <w:vAlign w:val="top"/>
                </w:tcPr>
                <w:p>
                  <w:r>
                    <w:t xml:space="preserve">N13.6</w:t>
                  </w:r>
                </w:p>
              </w:tc>
              <w:tc>
                <w:tcPr>
                  <w:tcW w:w="1100" w:type="pct"/>
                  <w:vMerge/>
                </w:tcPr>
                <w:p/>
              </w:tc>
              <w:tc>
                <w:tcPr>
                  <w:tcW w:w="2500" w:type="pct"/>
                  <w:vAlign w:val="top"/>
                </w:tcPr>
                <w:p>
                  <w:r>
                    <w:t xml:space="preserve">Pyonephrosis</w:t>
                  </w:r>
                </w:p>
              </w:tc>
            </w:tr>
            <w:tr>
              <w:trPr/>
              <w:tc>
                <w:tcPr>
                  <w:tcW w:w="1350" w:type="pct"/>
                  <w:vAlign w:val="top"/>
                </w:tcPr>
                <w:p>
                  <w:r>
                    <w:t xml:space="preserve">N15.1</w:t>
                  </w:r>
                </w:p>
              </w:tc>
              <w:tc>
                <w:tcPr>
                  <w:tcW w:w="1100" w:type="pct"/>
                  <w:vMerge/>
                </w:tcPr>
                <w:p/>
              </w:tc>
              <w:tc>
                <w:tcPr>
                  <w:tcW w:w="2500" w:type="pct"/>
                  <w:vAlign w:val="top"/>
                </w:tcPr>
                <w:p>
                  <w:r>
                    <w:t xml:space="preserve">Renal and perinephric abscess</w:t>
                  </w:r>
                </w:p>
              </w:tc>
            </w:tr>
            <w:tr>
              <w:trPr/>
              <w:tc>
                <w:tcPr>
                  <w:tcW w:w="1350" w:type="pct"/>
                  <w:vAlign w:val="top"/>
                </w:tcPr>
                <w:p>
                  <w:r>
                    <w:t xml:space="preserve">N15.9</w:t>
                  </w:r>
                </w:p>
              </w:tc>
              <w:tc>
                <w:tcPr>
                  <w:tcW w:w="1100" w:type="pct"/>
                  <w:vMerge/>
                </w:tcPr>
                <w:p/>
              </w:tc>
              <w:tc>
                <w:tcPr>
                  <w:tcW w:w="2500" w:type="pct"/>
                  <w:vAlign w:val="top"/>
                </w:tcPr>
                <w:p>
                  <w:r>
                    <w:t xml:space="preserve">Renal tubulo-interstitial disease, unspecified</w:t>
                  </w:r>
                </w:p>
              </w:tc>
            </w:tr>
            <w:tr>
              <w:trPr/>
              <w:tc>
                <w:tcPr>
                  <w:tcW w:w="1350" w:type="pct"/>
                  <w:vAlign w:val="top"/>
                </w:tcPr>
                <w:p>
                  <w:r>
                    <w:t xml:space="preserve">N28.9</w:t>
                  </w:r>
                </w:p>
              </w:tc>
              <w:tc>
                <w:tcPr>
                  <w:tcW w:w="1100" w:type="pct"/>
                  <w:vMerge/>
                </w:tcPr>
                <w:p/>
              </w:tc>
              <w:tc>
                <w:tcPr>
                  <w:tcW w:w="2500" w:type="pct"/>
                  <w:vAlign w:val="top"/>
                </w:tcPr>
                <w:p>
                  <w:r>
                    <w:t xml:space="preserve">Disorders of kidney and ureter, unspecified</w:t>
                  </w:r>
                </w:p>
              </w:tc>
            </w:tr>
            <w:tr>
              <w:trPr/>
              <w:tc>
                <w:tcPr>
                  <w:tcW w:w="1350" w:type="pct"/>
                  <w:vAlign w:val="top"/>
                </w:tcPr>
                <w:p>
                  <w:r>
                    <w:t xml:space="preserve">N39.0</w:t>
                  </w:r>
                </w:p>
              </w:tc>
              <w:tc>
                <w:tcPr>
                  <w:tcW w:w="1100" w:type="pct"/>
                  <w:vMerge/>
                </w:tcPr>
                <w:p/>
              </w:tc>
              <w:tc>
                <w:tcPr>
                  <w:tcW w:w="2500" w:type="pct"/>
                  <w:vAlign w:val="top"/>
                </w:tcPr>
                <w:p>
                  <w:r>
                    <w:t xml:space="preserve">Urinary tract infection, site not specified</w:t>
                  </w:r>
                </w:p>
              </w:tc>
            </w:tr>
            <w:tr>
              <w:trPr/>
              <w:tc>
                <w:tcPr>
                  <w:tcW w:w="1350" w:type="pct"/>
                  <w:vAlign w:val="top"/>
                </w:tcPr>
                <w:p>
                  <w:r>
                    <w:t xml:space="preserve">N39.9</w:t>
                  </w:r>
                </w:p>
              </w:tc>
              <w:tc>
                <w:tcPr>
                  <w:tcW w:w="1100" w:type="pct"/>
                  <w:vMerge/>
                </w:tcPr>
                <w:p/>
              </w:tc>
              <w:tc>
                <w:tcPr>
                  <w:tcW w:w="2500" w:type="pct"/>
                  <w:vAlign w:val="top"/>
                </w:tcPr>
                <w:p>
                  <w:r>
                    <w:t xml:space="preserve">Disorder or urinary system, unspecified</w:t>
                  </w:r>
                </w:p>
              </w:tc>
            </w:tr>
          </w:tbl>
          <w:p>
            <w:r>
              <w:t xml:space="preserve"> </w:t>
            </w:r>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w:t>
                  </w:r>
                  <w:r>
                    <w:t xml:space="preserve">0</w:t>
                  </w:r>
                </w:p>
              </w:tc>
              <w:tc>
                <w:tcPr>
                  <w:tcW w:w="4000" w:type="pct"/>
                  <w:vAlign w:val="top"/>
                </w:tcPr>
                <w:p>
                  <w:r>
                    <w:t xml:space="preserve">Hospital boarder</w:t>
                  </w:r>
                </w:p>
              </w:tc>
            </w:tr>
          </w:tbl>
          <w:p>
            <w:r>
              <w:t xml:space="preserve"> </w:t>
            </w:r>
          </w:p>
          <w:p>
            <w:r>
              <w:t xml:space="preserve">Presented as a number per 100,000 people.</w:t>
            </w:r>
          </w:p>
          <w:p>
            <w:r>
              <w:t xml:space="preserve">Rates for all Australians are directly age- and sex- standardised, to the 2001 Australian population, using 5-year age groups: 0-4, 5-9, … , 80-84, 85 and over. </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b5b413d8488d419b">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kidney and urinary tract infection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85b2d259464e89">
              <w:r>
                <w:rPr>
                  <w:rStyle w:val="Hyperlink"/>
                </w:rPr>
                <w:t xml:space="preserve">Person—date of birth, DDMMYYYY</w:t>
              </w:r>
            </w:hyperlink>
          </w:p>
          <w:p>
            <w:r>
              <w:rPr>
                <w:rStyle w:val="row-content"/>
                <w:b/>
              </w:rPr>
              <w:t xml:space="preserve">NMDS / DSS</w:t>
            </w:r>
          </w:p>
          <w:p>
            <w:hyperlink w:history="true" r:id="Rd825a7fcf2354ea6">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eda8030b834c58">
              <w:r>
                <w:rPr>
                  <w:rStyle w:val="Hyperlink"/>
                </w:rPr>
                <w:t xml:space="preserve">Hospital service—care type, code N[N]</w:t>
              </w:r>
            </w:hyperlink>
          </w:p>
          <w:p>
            <w:r>
              <w:rPr>
                <w:rStyle w:val="row-content"/>
                <w:b/>
              </w:rPr>
              <w:t xml:space="preserve">NMDS / DSS</w:t>
            </w:r>
          </w:p>
          <w:p>
            <w:hyperlink w:history="true" r:id="Ra8d117dc2856411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12fd232ee14cf6">
              <w:r>
                <w:rPr>
                  <w:rStyle w:val="Hyperlink"/>
                </w:rPr>
                <w:t xml:space="preserve">Episode of care—principal diagnosis, code (ICD-10-AM 8th edn) ANN{.N[N]}</w:t>
              </w:r>
            </w:hyperlink>
          </w:p>
          <w:p>
            <w:r>
              <w:rPr>
                <w:rStyle w:val="row-content"/>
                <w:b/>
              </w:rPr>
              <w:t xml:space="preserve">Data Source</w:t>
            </w:r>
          </w:p>
          <w:p>
            <w:hyperlink w:history="true" r:id="Rd57a3031e6c64b15">
              <w:r>
                <w:rPr>
                  <w:rStyle w:val="Hyperlink"/>
                </w:rPr>
                <w:t xml:space="preserve">National Hospital Morbidity Database (NHMD)</w:t>
              </w:r>
            </w:hyperlink>
          </w:p>
          <w:p>
            <w:r>
              <w:rPr>
                <w:rStyle w:val="row-content"/>
                <w:b/>
              </w:rPr>
              <w:t xml:space="preserve">NMDS / DSS</w:t>
            </w:r>
          </w:p>
          <w:p>
            <w:hyperlink w:history="true" r:id="R6eb6e4d468c14cd1">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aeb832dd4104e7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bd7e8ac3d238417a">
              <w:r>
                <w:rPr>
                  <w:rStyle w:val="Hyperlink"/>
                </w:rPr>
                <w:t xml:space="preserve">Person—estimated resident population of Australia, total people N[N(7)]</w:t>
              </w:r>
            </w:hyperlink>
          </w:p>
          <w:p>
            <w:r>
              <w:rPr>
                <w:rStyle w:val="row-content"/>
                <w:b/>
              </w:rPr>
              <w:t xml:space="preserve">Data Source</w:t>
            </w:r>
          </w:p>
          <w:p>
            <w:hyperlink w:history="true" r:id="Rd759acf77e364bf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r>
              <w:rPr>
                <w:rStyle w:val="row-content-rich-text"/>
              </w:rPr>
              <w:t xml:space="preserve">                                                 </w:t>
            </w:r>
          </w:p>
          <w:p>
            <w:pPr/>
            <w:r>
              <w:rPr>
                <w:rStyle w:val="row-content-rich-text"/>
              </w:rPr>
              <w:t xml:space="preserve">State and 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684c02239a49fc">
              <w:r>
                <w:rPr>
                  <w:rStyle w:val="Hyperlink"/>
                </w:rPr>
                <w:t xml:space="preserve">Person—area of usual residence, statistical area level 2 (SA2) code (ASGS 2011) N(9)</w:t>
              </w:r>
            </w:hyperlink>
          </w:p>
          <w:p>
            <w:r>
              <w:rPr>
                <w:rStyle w:val="row-content"/>
                <w:b/>
              </w:rPr>
              <w:t xml:space="preserve">Data Source</w:t>
            </w:r>
          </w:p>
          <w:p>
            <w:hyperlink w:history="true" r:id="R085d718e5f994013">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ffe8c4314c4cf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e469c3904394be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7592ee4ac46485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fcb9b74f35b47e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d6dc8a351244ba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PI 18–Selected potentially preventable hospitalisations, 2017</w:t>
            </w:r>
          </w:p>
          <w:p>
            <w:hyperlink w:history="true" r:id="Rd814a934b4c3416d">
              <w:r>
                <w:rPr>
                  <w:rStyle w:val="Hyperlink"/>
                </w:rPr>
                <w:t xml:space="preserve">/content/index.phtml/itemId/630028</w:t>
              </w:r>
            </w:hyperlink>
          </w:p>
          <w:p>
            <w:hyperlink w:history="true" r:id="R48058ddf45334071">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pPr>
              <w:spacing w:after="160"/>
            </w:pPr>
            <w:r>
              <w:rPr>
                <w:rStyle w:val="row-content-rich-text"/>
              </w:rPr>
              <w:t xml:space="preserve">National </w:t>
            </w:r>
            <w:r>
              <w:rPr>
                <w:rStyle w:val="row-content-rich-text"/>
              </w:rPr>
              <w:t xml:space="preserve">Health Performance Authority 2015, Healthy Communities: Potentially preventable hospitalisations in 2013–14, Technical Supplement.</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b23dd00cc54d5c">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2ffe161d46c84d9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ba4e96e57707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54f872750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e96e5770743ec" /><Relationship Type="http://schemas.openxmlformats.org/officeDocument/2006/relationships/header" Target="/word/header1.xml" Id="Rb52a18a144474a54" /><Relationship Type="http://schemas.openxmlformats.org/officeDocument/2006/relationships/settings" Target="/word/settings.xml" Id="R9bd12c0442c14686" /><Relationship Type="http://schemas.openxmlformats.org/officeDocument/2006/relationships/styles" Target="/word/styles.xml" Id="Ree247709814c47b9" /><Relationship Type="http://schemas.openxmlformats.org/officeDocument/2006/relationships/hyperlink" Target="https://meteor.aihw.gov.au/RegistrationAuthority/18" TargetMode="External" Id="R2b58fbe2bdea4ed7" /><Relationship Type="http://schemas.openxmlformats.org/officeDocument/2006/relationships/hyperlink" Target="https://meteor.aihw.gov.au/content/674758" TargetMode="External" Id="R923340c5c9604d50" /><Relationship Type="http://schemas.openxmlformats.org/officeDocument/2006/relationships/hyperlink" Target="https://meteor.aihw.gov.au/RegistrationAuthority/18" TargetMode="External" Id="R14628a439a824b0a" /><Relationship Type="http://schemas.openxmlformats.org/officeDocument/2006/relationships/hyperlink" Target="https://meteor.aihw.gov.au/content/327276" TargetMode="External" Id="Rb5b413d8488d419b" /><Relationship Type="http://schemas.openxmlformats.org/officeDocument/2006/relationships/numbering" Target="/word/numbering.xml" Id="Rd235aad6484a4e5b" /><Relationship Type="http://schemas.openxmlformats.org/officeDocument/2006/relationships/hyperlink" Target="https://meteor.aihw.gov.au/content/287007" TargetMode="External" Id="R2e85b2d259464e89" /><Relationship Type="http://schemas.openxmlformats.org/officeDocument/2006/relationships/hyperlink" Target="https://meteor.aihw.gov.au/content/535047" TargetMode="External" Id="Rd825a7fcf2354ea6" /><Relationship Type="http://schemas.openxmlformats.org/officeDocument/2006/relationships/hyperlink" Target="https://meteor.aihw.gov.au/content/491557" TargetMode="External" Id="Receda8030b834c58" /><Relationship Type="http://schemas.openxmlformats.org/officeDocument/2006/relationships/hyperlink" Target="https://meteor.aihw.gov.au/content/535047" TargetMode="External" Id="Ra8d117dc28564112" /><Relationship Type="http://schemas.openxmlformats.org/officeDocument/2006/relationships/hyperlink" Target="https://meteor.aihw.gov.au/content/514273" TargetMode="External" Id="R4912fd232ee14cf6" /><Relationship Type="http://schemas.openxmlformats.org/officeDocument/2006/relationships/hyperlink" Target="https://meteor.aihw.gov.au/content/394352" TargetMode="External" Id="Rd57a3031e6c64b15" /><Relationship Type="http://schemas.openxmlformats.org/officeDocument/2006/relationships/hyperlink" Target="https://meteor.aihw.gov.au/content/535047" TargetMode="External" Id="R6eb6e4d468c14cd1" /><Relationship Type="http://schemas.openxmlformats.org/officeDocument/2006/relationships/hyperlink" Target="https://meteor.aihw.gov.au/content/394092" TargetMode="External" Id="R5aeb832dd4104e77" /><Relationship Type="http://schemas.openxmlformats.org/officeDocument/2006/relationships/hyperlink" Target="https://meteor.aihw.gov.au/content/388656" TargetMode="External" Id="Rbd7e8ac3d238417a" /><Relationship Type="http://schemas.openxmlformats.org/officeDocument/2006/relationships/hyperlink" Target="https://meteor.aihw.gov.au/content/393625" TargetMode="External" Id="Rd759acf77e364bfd" /><Relationship Type="http://schemas.openxmlformats.org/officeDocument/2006/relationships/hyperlink" Target="https://meteor.aihw.gov.au/content/469909" TargetMode="External" Id="R82684c02239a49fc" /><Relationship Type="http://schemas.openxmlformats.org/officeDocument/2006/relationships/hyperlink" Target="https://meteor.aihw.gov.au/content/394352" TargetMode="External" Id="R085d718e5f994013" /><Relationship Type="http://schemas.openxmlformats.org/officeDocument/2006/relationships/hyperlink" Target="https://meteor.aihw.gov.au/content/394092" TargetMode="External" Id="R15ffe8c4314c4cfe" /><Relationship Type="http://schemas.openxmlformats.org/officeDocument/2006/relationships/hyperlink" Target="https://meteor.aihw.gov.au/content/449223" TargetMode="External" Id="R5e469c3904394be9" /><Relationship Type="http://schemas.openxmlformats.org/officeDocument/2006/relationships/hyperlink" Target="https://meteor.aihw.gov.au/content/394352" TargetMode="External" Id="R07592ee4ac464852" /><Relationship Type="http://schemas.openxmlformats.org/officeDocument/2006/relationships/hyperlink" Target="https://meteor.aihw.gov.au/content/393625" TargetMode="External" Id="R9fcb9b74f35b47e9" /><Relationship Type="http://schemas.openxmlformats.org/officeDocument/2006/relationships/hyperlink" Target="https://meteor.aihw.gov.au/content/449216" TargetMode="External" Id="R2d6dc8a351244ba9" /><Relationship Type="http://schemas.openxmlformats.org/officeDocument/2006/relationships/hyperlink" Target="https://meteor.aihw.gov.au/content/630028" TargetMode="External" Id="Rd814a934b4c3416d" /><Relationship Type="http://schemas.openxmlformats.org/officeDocument/2006/relationships/hyperlink" Target="http://www.safetyandquality.gov.au/wp-content/uploads/2014/05/Exploring-Healthcare-Variation-in-Australia-Analyses-Resulting-from-an-OECD-Study.pdf" TargetMode="External" Id="R48058ddf45334071" /><Relationship Type="http://schemas.openxmlformats.org/officeDocument/2006/relationships/hyperlink" Target="https://meteor.aihw.gov.au/content/724486" TargetMode="External" Id="R17b23dd00cc54d5c" /><Relationship Type="http://schemas.openxmlformats.org/officeDocument/2006/relationships/hyperlink" Target="https://meteor.aihw.gov.au/RegistrationAuthority/18" TargetMode="External" Id="R2ffe161d46c84d93" /></Relationships>
</file>

<file path=word/_rels/header1.xml.rels>&#65279;<?xml version="1.0" encoding="utf-8"?><Relationships xmlns="http://schemas.openxmlformats.org/package/2006/relationships"><Relationship Type="http://schemas.openxmlformats.org/officeDocument/2006/relationships/image" Target="/media/image.png" Id="Ra5454f8727504a4e" /></Relationships>
</file>