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3e64822b784c52"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diabetes complications,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diabetes complications,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Diabetes complications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36f91410d42a8">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diabetes complications,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cfdebc159f4c69">
              <w:r>
                <w:rPr>
                  <w:rStyle w:val="Hyperlink"/>
                </w:rPr>
                <w:t xml:space="preserve">Australian Atlas of Healthcare Variation 2017</w:t>
              </w:r>
            </w:hyperlink>
          </w:p>
          <w:p>
            <w:pPr>
              <w:spacing w:before="0" w:after="0"/>
            </w:pPr>
            <w:r>
              <w:rPr>
                <w:rStyle w:val="row-content"/>
                <w:color w:val="244061"/>
              </w:rPr>
              <w:t xml:space="preserve">       </w:t>
            </w:r>
            <w:hyperlink w:history="true" r:id="Rd1ba5aa96b584df2">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codes, description and additional requirements</w:t>
            </w:r>
          </w:p>
          <w:tbl>
            <w:tblPr>
              <w:tblStyle w:val="TableGrid"/>
              <w:tblW w:w="5000" w:type="pct"/>
              <w:tblLayout w:type="autofit"/>
            </w:tblPr>
            <w:tblGrid>
              <w:gridCol/>
              <w:gridCol/>
              <w:gridCol/>
            </w:tblGrid>
            <w:tr>
              <w:trPr/>
              <w:tc>
                <w:tcPr>
                  <w:tcW w:w="1600" w:type="pct"/>
                  <w:vAlign w:val="top"/>
                </w:tcPr>
                <w:p>
                  <w:pPr/>
                  <w:r>
                    <w:rPr>
                      <w:rStyle w:val="row-content-rich-text"/>
                      <w:b/>
                    </w:rPr>
                    <w:t xml:space="preserve">ICD-10-AM </w:t>
                  </w:r>
                  <w:r>
                    <w:rPr>
                      <w:rStyle w:val="row-content-rich-text"/>
                      <w:b/>
                    </w:rPr>
                    <w:t xml:space="preserve"> </w:t>
                  </w:r>
                  <w:r>
                    <w:rPr>
                      <w:rStyle w:val="row-content-rich-text"/>
                      <w:b/>
                    </w:rPr>
                    <w:t xml:space="preserve">8th edition code</w:t>
                  </w:r>
                </w:p>
              </w:tc>
              <w:tc>
                <w:tcPr>
                  <w:tcW w:w="850" w:type="pct"/>
                  <w:vAlign w:val="top"/>
                </w:tcPr>
                <w:p>
                  <w:r>
                    <w:rPr>
                      <w:b/>
                    </w:rPr>
                    <w:t xml:space="preserve">Description</w:t>
                  </w:r>
                </w:p>
              </w:tc>
              <w:tc>
                <w:tcPr>
                  <w:tcW w:w="2500" w:type="pct"/>
                  <w:vAlign w:val="top"/>
                </w:tcPr>
                <w:p>
                  <w:r>
                    <w:rPr>
                      <w:b/>
                    </w:rPr>
                    <w:t xml:space="preserve">Additional requirements</w:t>
                  </w:r>
                </w:p>
              </w:tc>
            </w:tr>
            <w:tr>
              <w:trPr/>
              <w:tc>
                <w:tcPr>
                  <w:tcW w:w="1600" w:type="pct"/>
                  <w:vAlign w:val="top"/>
                </w:tcPr>
                <w:p>
                  <w:r>
                    <w:t xml:space="preserve">E10.0-E10.9</w:t>
                  </w:r>
                </w:p>
              </w:tc>
              <w:tc>
                <w:tcPr>
                  <w:tcW w:w="850" w:type="pct"/>
                  <w:vAlign w:val="top"/>
                </w:tcPr>
                <w:p>
                  <w:r>
                    <w:t xml:space="preserve">Type 1 diabetes mellitus</w:t>
                  </w:r>
                </w:p>
              </w:tc>
              <w:tc>
                <w:tcPr>
                  <w:tcW w:w="2500" w:type="pct"/>
                  <w:vMerge w:val="restart"/>
                  <w:vAlign w:val="top"/>
                </w:tcPr>
                <w:p>
                  <w:r>
                    <w:t xml:space="preserve">Principal diagnosis only</w:t>
                  </w:r>
                </w:p>
              </w:tc>
            </w:tr>
            <w:tr>
              <w:trPr/>
              <w:tc>
                <w:tcPr>
                  <w:tcW w:w="1600" w:type="pct"/>
                  <w:vAlign w:val="top"/>
                </w:tcPr>
                <w:p>
                  <w:r>
                    <w:t xml:space="preserve">E11.0-E11.9</w:t>
                  </w:r>
                </w:p>
              </w:tc>
              <w:tc>
                <w:tcPr>
                  <w:tcW w:w="850" w:type="pct"/>
                  <w:vMerge/>
                </w:tcPr>
                <w:p/>
              </w:tc>
              <w:tc>
                <w:tcPr>
                  <w:tcW w:w="2500" w:type="pct"/>
                  <w:vAlign w:val="top"/>
                </w:tcPr>
                <w:p>
                  <w:r>
                    <w:t xml:space="preserve">Type 2 diabetes mellitus</w:t>
                  </w:r>
                </w:p>
              </w:tc>
            </w:tr>
            <w:tr>
              <w:trPr/>
              <w:tc>
                <w:tcPr>
                  <w:tcW w:w="1600" w:type="pct"/>
                  <w:vAlign w:val="top"/>
                </w:tcPr>
                <w:p>
                  <w:r>
                    <w:t xml:space="preserve">E13.0-E13.9</w:t>
                  </w:r>
                </w:p>
              </w:tc>
              <w:tc>
                <w:tcPr>
                  <w:tcW w:w="850" w:type="pct"/>
                  <w:vMerge/>
                </w:tcPr>
                <w:p/>
              </w:tc>
              <w:tc>
                <w:tcPr>
                  <w:tcW w:w="2500" w:type="pct"/>
                  <w:vAlign w:val="top"/>
                </w:tcPr>
                <w:p>
                  <w:r>
                    <w:t xml:space="preserve">Other specified diabetes mellitus</w:t>
                  </w:r>
                </w:p>
              </w:tc>
            </w:tr>
            <w:tr>
              <w:trPr/>
              <w:tc>
                <w:tcPr>
                  <w:tcW w:w="1600" w:type="pct"/>
                  <w:vAlign w:val="top"/>
                </w:tcPr>
                <w:p>
                  <w:r>
                    <w:t xml:space="preserve">E14.0-E14.9</w:t>
                  </w:r>
                </w:p>
              </w:tc>
              <w:tc>
                <w:tcPr>
                  <w:tcW w:w="850" w:type="pct"/>
                  <w:vMerge/>
                </w:tcPr>
                <w:p/>
              </w:tc>
              <w:tc>
                <w:tcPr>
                  <w:tcW w:w="2500" w:type="pct"/>
                  <w:vAlign w:val="top"/>
                </w:tcPr>
                <w:p>
                  <w:r>
                    <w:t xml:space="preserve">Unspecified diabetes mellitus</w:t>
                  </w:r>
                </w:p>
              </w:tc>
            </w:tr>
          </w:tbl>
          <w:p>
            <w:r>
              <w:t xml:space="preserve">Exclusion codes</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 </w:t>
            </w:r>
            <w:r>
              <w:t xml:space="preserve">For more information about age-standardisation in general see </w:t>
            </w:r>
            <w:hyperlink w:history="true" r:id="Rebe69ba6d95b457c">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p>
          <w:p>
            <w:r>
              <w:t xml:space="preserve"> </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potentially preventable diabetes complications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c72563e9f94dba">
              <w:r>
                <w:rPr>
                  <w:rStyle w:val="Hyperlink"/>
                </w:rPr>
                <w:t xml:space="preserve">National Hospital Morbidity Database (NHMD)</w:t>
              </w:r>
            </w:hyperlink>
          </w:p>
          <w:p>
            <w:r>
              <w:rPr>
                <w:rStyle w:val="row-content"/>
                <w:b/>
              </w:rPr>
              <w:t xml:space="preserve">NMDS / DSS</w:t>
            </w:r>
          </w:p>
          <w:p>
            <w:hyperlink w:history="true" r:id="Rd853ebaf76a84910">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10d0414cdd43e7">
              <w:r>
                <w:rPr>
                  <w:rStyle w:val="Hyperlink"/>
                </w:rPr>
                <w:t xml:space="preserve">Hospital service—care type, code N[N]</w:t>
              </w:r>
            </w:hyperlink>
          </w:p>
          <w:p>
            <w:r>
              <w:rPr>
                <w:rStyle w:val="row-content"/>
                <w:b/>
              </w:rPr>
              <w:t xml:space="preserve">NMDS / DSS</w:t>
            </w:r>
          </w:p>
          <w:p>
            <w:hyperlink w:history="true" r:id="R2f64b1e624164820">
              <w:r>
                <w:rPr>
                  <w:rStyle w:val="Hyperlink"/>
                </w:rPr>
                <w:t xml:space="preserve">Admitted patient care NMDS 2014-15</w:t>
              </w:r>
            </w:hyperlink>
          </w:p>
          <w:p>
            <w:r>
              <w:rPr>
                <w:rStyle w:val="row-content"/>
                <w:b/>
                <w:color w:val="000000"/>
              </w:rPr>
              <w:t xml:space="preserve">Data Element / Data Set</w:t>
            </w:r>
          </w:p>
          <w:p>
            <w:hyperlink w:history="true" r:id="R601eefbfb2b9474d">
              <w:r>
                <w:rPr>
                  <w:rStyle w:val="Hyperlink"/>
                </w:rPr>
                <w:t xml:space="preserve">Episode of care—principal diagnosis, code (ICD-10-AM 8th edn) ANN{.N[N]}</w:t>
              </w:r>
            </w:hyperlink>
          </w:p>
          <w:p>
            <w:r>
              <w:rPr>
                <w:rStyle w:val="row-content"/>
                <w:b/>
              </w:rPr>
              <w:t xml:space="preserve">Data Source</w:t>
            </w:r>
          </w:p>
          <w:p>
            <w:hyperlink w:history="true" r:id="Rcd4c055fed8f41a0">
              <w:r>
                <w:rPr>
                  <w:rStyle w:val="Hyperlink"/>
                </w:rPr>
                <w:t xml:space="preserve">National Hospital Morbidity Database (NHMD)</w:t>
              </w:r>
            </w:hyperlink>
          </w:p>
          <w:p>
            <w:r>
              <w:rPr>
                <w:rStyle w:val="row-content"/>
                <w:b/>
              </w:rPr>
              <w:t xml:space="preserve">NMDS / DSS</w:t>
            </w:r>
          </w:p>
          <w:p>
            <w:hyperlink w:history="true" r:id="Rcd1f14330f24405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1da5f365a4e486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5ca4b1fa05d4fa7">
              <w:r>
                <w:rPr>
                  <w:rStyle w:val="Hyperlink"/>
                </w:rPr>
                <w:t xml:space="preserve">Person—estimated resident population of Australia, total people N[N(7)]</w:t>
              </w:r>
            </w:hyperlink>
          </w:p>
          <w:p>
            <w:r>
              <w:rPr>
                <w:rStyle w:val="row-content"/>
                <w:b/>
              </w:rPr>
              <w:t xml:space="preserve">Data Source</w:t>
            </w:r>
          </w:p>
          <w:p>
            <w:hyperlink w:history="true" r:id="R580734a3623e443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Indigenous status</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5e2cb5e5d94852">
              <w:r>
                <w:rPr>
                  <w:rStyle w:val="Hyperlink"/>
                </w:rPr>
                <w:t xml:space="preserve">Person—area of usual residence, statistical area level 2 (SA2) code (ASGS 2011) N(9)</w:t>
              </w:r>
            </w:hyperlink>
          </w:p>
          <w:p>
            <w:r>
              <w:rPr>
                <w:rStyle w:val="row-content"/>
                <w:b/>
              </w:rPr>
              <w:t xml:space="preserve">Data Source</w:t>
            </w:r>
          </w:p>
          <w:p>
            <w:hyperlink w:history="true" r:id="R4c0b7cbf76c0411c">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fc70b5b778427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f1ed4ad199142a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5e26f59d8044c2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d7edded7d39435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5ccaed35fbd401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 PI 18–Selected potentially preventable hospitalisations, 2017</w:t>
            </w:r>
          </w:p>
          <w:p>
            <w:hyperlink w:history="true" r:id="R775a0c17106f4cda">
              <w:r>
                <w:rPr>
                  <w:rStyle w:val="Hyperlink"/>
                </w:rPr>
                <w:t xml:space="preserve">/content/index.phtml/itemId/630028</w:t>
              </w:r>
            </w:hyperlink>
          </w:p>
          <w:p>
            <w:hyperlink w:history="true" r:id="Rd32359e973374c1a">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479aad8d47f243ed">
              <w:r>
                <w:rPr>
                  <w:rStyle w:val="Hyperlink"/>
                </w:rPr>
                <w:t xml:space="preserve">National Health Performance Authority 2015, Healthy Communities: Potentially preventable hospitalisations in 2013–14,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cbc844eff54c5b">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74c1110682684ea0">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0cba262791c6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638802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20176304b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a262791c64d43" /><Relationship Type="http://schemas.openxmlformats.org/officeDocument/2006/relationships/header" Target="/word/header1.xml" Id="Rbcd60a1c95d84cc4" /><Relationship Type="http://schemas.openxmlformats.org/officeDocument/2006/relationships/settings" Target="/word/settings.xml" Id="R1b4ba3df6d0945f6" /><Relationship Type="http://schemas.openxmlformats.org/officeDocument/2006/relationships/styles" Target="/word/styles.xml" Id="R30c33aaa732348a0" /><Relationship Type="http://schemas.openxmlformats.org/officeDocument/2006/relationships/hyperlink" Target="https://meteor.aihw.gov.au/RegistrationAuthority/18" TargetMode="External" Id="Rf5b36f91410d42a8" /><Relationship Type="http://schemas.openxmlformats.org/officeDocument/2006/relationships/hyperlink" Target="https://meteor.aihw.gov.au/content/674758" TargetMode="External" Id="Rf1cfdebc159f4c69" /><Relationship Type="http://schemas.openxmlformats.org/officeDocument/2006/relationships/hyperlink" Target="https://meteor.aihw.gov.au/RegistrationAuthority/18" TargetMode="External" Id="Rd1ba5aa96b584df2" /><Relationship Type="http://schemas.openxmlformats.org/officeDocument/2006/relationships/hyperlink" Target="https://meteor.aihw.gov.au/content/327276" TargetMode="External" Id="Rebe69ba6d95b457c" /><Relationship Type="http://schemas.openxmlformats.org/officeDocument/2006/relationships/numbering" Target="/word/numbering.xml" Id="R68d62c33147647bd" /><Relationship Type="http://schemas.openxmlformats.org/officeDocument/2006/relationships/hyperlink" Target="https://meteor.aihw.gov.au/content/394352" TargetMode="External" Id="R70c72563e9f94dba" /><Relationship Type="http://schemas.openxmlformats.org/officeDocument/2006/relationships/hyperlink" Target="https://meteor.aihw.gov.au/content/535047" TargetMode="External" Id="Rd853ebaf76a84910" /><Relationship Type="http://schemas.openxmlformats.org/officeDocument/2006/relationships/hyperlink" Target="https://meteor.aihw.gov.au/content/491557" TargetMode="External" Id="R3c10d0414cdd43e7" /><Relationship Type="http://schemas.openxmlformats.org/officeDocument/2006/relationships/hyperlink" Target="https://meteor.aihw.gov.au/content/535047" TargetMode="External" Id="R2f64b1e624164820" /><Relationship Type="http://schemas.openxmlformats.org/officeDocument/2006/relationships/hyperlink" Target="https://meteor.aihw.gov.au/content/514273" TargetMode="External" Id="R601eefbfb2b9474d" /><Relationship Type="http://schemas.openxmlformats.org/officeDocument/2006/relationships/hyperlink" Target="https://meteor.aihw.gov.au/content/394352" TargetMode="External" Id="Rcd4c055fed8f41a0" /><Relationship Type="http://schemas.openxmlformats.org/officeDocument/2006/relationships/hyperlink" Target="https://meteor.aihw.gov.au/content/535047" TargetMode="External" Id="Rcd1f14330f244051" /><Relationship Type="http://schemas.openxmlformats.org/officeDocument/2006/relationships/hyperlink" Target="https://meteor.aihw.gov.au/content/394092" TargetMode="External" Id="Rf1da5f365a4e486a" /><Relationship Type="http://schemas.openxmlformats.org/officeDocument/2006/relationships/hyperlink" Target="https://meteor.aihw.gov.au/content/388656" TargetMode="External" Id="R75ca4b1fa05d4fa7" /><Relationship Type="http://schemas.openxmlformats.org/officeDocument/2006/relationships/hyperlink" Target="https://meteor.aihw.gov.au/content/393625" TargetMode="External" Id="R580734a3623e443a" /><Relationship Type="http://schemas.openxmlformats.org/officeDocument/2006/relationships/hyperlink" Target="https://meteor.aihw.gov.au/content/469909" TargetMode="External" Id="R825e2cb5e5d94852" /><Relationship Type="http://schemas.openxmlformats.org/officeDocument/2006/relationships/hyperlink" Target="https://meteor.aihw.gov.au/content/394352" TargetMode="External" Id="R4c0b7cbf76c0411c" /><Relationship Type="http://schemas.openxmlformats.org/officeDocument/2006/relationships/hyperlink" Target="https://meteor.aihw.gov.au/content/394092" TargetMode="External" Id="Rcefc70b5b7784279" /><Relationship Type="http://schemas.openxmlformats.org/officeDocument/2006/relationships/hyperlink" Target="https://meteor.aihw.gov.au/content/449223" TargetMode="External" Id="R5f1ed4ad199142a5" /><Relationship Type="http://schemas.openxmlformats.org/officeDocument/2006/relationships/hyperlink" Target="https://meteor.aihw.gov.au/content/394352" TargetMode="External" Id="Re5e26f59d8044c2f" /><Relationship Type="http://schemas.openxmlformats.org/officeDocument/2006/relationships/hyperlink" Target="https://meteor.aihw.gov.au/content/393625" TargetMode="External" Id="Rdd7edded7d39435a" /><Relationship Type="http://schemas.openxmlformats.org/officeDocument/2006/relationships/hyperlink" Target="https://meteor.aihw.gov.au/content/449216" TargetMode="External" Id="R55ccaed35fbd4015" /><Relationship Type="http://schemas.openxmlformats.org/officeDocument/2006/relationships/hyperlink" Target="https://meteor.aihw.gov.au/content/630028" TargetMode="External" Id="R775a0c17106f4cda" /><Relationship Type="http://schemas.openxmlformats.org/officeDocument/2006/relationships/hyperlink" Target="http://www.safetyandquality.gov.au/wp-content/uploads/2014/05/Exploring-Healthcare-Variation-in-Australia-Analyses-Resulting-from-an-OECD-Study.pdf" TargetMode="External" Id="Rd32359e973374c1a" /><Relationship Type="http://schemas.openxmlformats.org/officeDocument/2006/relationships/hyperlink" Target="http://www.myhealthycommunities.gov.au/our-reports/potentially-preventable-hospitalisations/december-2015/technical-supplement" TargetMode="External" Id="R479aad8d47f243ed" /><Relationship Type="http://schemas.openxmlformats.org/officeDocument/2006/relationships/hyperlink" Target="https://meteor.aihw.gov.au/content/724543" TargetMode="External" Id="R99cbc844eff54c5b" /><Relationship Type="http://schemas.openxmlformats.org/officeDocument/2006/relationships/hyperlink" Target="https://meteor.aihw.gov.au/RegistrationAuthority/18" TargetMode="External" Id="R74c1110682684ea0" /></Relationships>
</file>

<file path=word/_rels/header1.xml.rels>&#65279;<?xml version="1.0" encoding="utf-8"?><Relationships xmlns="http://schemas.openxmlformats.org/package/2006/relationships"><Relationship Type="http://schemas.openxmlformats.org/officeDocument/2006/relationships/image" Target="/media/image.png" Id="R04f20176304b4ee8" /></Relationships>
</file>